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968BA3" w14:textId="77777777" w:rsidR="00E75334" w:rsidRDefault="00E75334"/>
    <w:p w14:paraId="4477E0BA" w14:textId="77777777" w:rsidR="00E75334" w:rsidRDefault="007A6A37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SDCG-11 Actions</w:t>
      </w:r>
    </w:p>
    <w:p w14:paraId="45F52AB8" w14:textId="5CB2F65A" w:rsidR="00E75334" w:rsidRDefault="007A6A37">
      <w:pPr>
        <w:jc w:val="center"/>
      </w:pPr>
      <w:r>
        <w:rPr>
          <w:rFonts w:ascii="Calibri" w:eastAsia="Calibri" w:hAnsi="Calibri" w:cs="Calibri"/>
          <w:sz w:val="22"/>
          <w:szCs w:val="22"/>
        </w:rPr>
        <w:t>V</w:t>
      </w:r>
      <w:r w:rsidR="00EF096D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.0</w:t>
      </w:r>
      <w:r w:rsidR="006C1AAA">
        <w:rPr>
          <w:rFonts w:ascii="Calibri" w:eastAsia="Calibri" w:hAnsi="Calibri" w:cs="Calibri"/>
          <w:sz w:val="22"/>
          <w:szCs w:val="22"/>
        </w:rPr>
        <w:t xml:space="preserve"> – </w:t>
      </w:r>
      <w:r w:rsidR="00532CC5">
        <w:rPr>
          <w:rFonts w:ascii="Calibri" w:eastAsia="Calibri" w:hAnsi="Calibri" w:cs="Calibri"/>
          <w:sz w:val="22"/>
          <w:szCs w:val="22"/>
          <w:highlight w:val="yellow"/>
        </w:rPr>
        <w:t xml:space="preserve">Status Update </w:t>
      </w:r>
      <w:r w:rsidR="005C2905">
        <w:rPr>
          <w:rFonts w:ascii="Calibri" w:eastAsia="Calibri" w:hAnsi="Calibri" w:cs="Calibri"/>
          <w:sz w:val="22"/>
          <w:szCs w:val="22"/>
          <w:highlight w:val="yellow"/>
        </w:rPr>
        <w:t>4 September</w:t>
      </w:r>
      <w:r w:rsidR="006C1AAA" w:rsidRPr="006C1AAA">
        <w:rPr>
          <w:rFonts w:ascii="Calibri" w:eastAsia="Calibri" w:hAnsi="Calibri" w:cs="Calibri"/>
          <w:sz w:val="22"/>
          <w:szCs w:val="22"/>
          <w:highlight w:val="yellow"/>
        </w:rPr>
        <w:t xml:space="preserve"> 2017</w:t>
      </w:r>
    </w:p>
    <w:p w14:paraId="6974A4F1" w14:textId="77777777" w:rsidR="00E75334" w:rsidRDefault="00E75334"/>
    <w:tbl>
      <w:tblPr>
        <w:tblStyle w:val="a"/>
        <w:tblW w:w="10402" w:type="dxa"/>
        <w:tblInd w:w="-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448"/>
        <w:gridCol w:w="3408"/>
      </w:tblGrid>
      <w:tr w:rsidR="00E75334" w14:paraId="6291F699" w14:textId="77777777"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AE8920F" w14:textId="77777777" w:rsidR="00E75334" w:rsidRDefault="007A6A37">
            <w:pPr>
              <w:spacing w:before="40" w:after="4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No.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738217E" w14:textId="77777777" w:rsidR="00E75334" w:rsidRDefault="007A6A37">
            <w:pPr>
              <w:spacing w:before="40" w:after="4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F69A2A9" w14:textId="77777777" w:rsidR="00E75334" w:rsidRDefault="007A6A37">
            <w:pPr>
              <w:spacing w:before="40" w:after="4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</w:rPr>
              <w:t>Due date</w:t>
            </w:r>
          </w:p>
        </w:tc>
      </w:tr>
      <w:tr w:rsidR="00E75334" w14:paraId="407A96EA" w14:textId="77777777" w:rsidTr="00BF3C3D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4AE372F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87B341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Stephen to provide Helmut with the compilation of CEOS FDA ad hoc team inputs with a view to having DLR contribute if they feel their contributions are not well reflected.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4B2C2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</w:tc>
      </w:tr>
      <w:tr w:rsidR="00E75334" w14:paraId="568A58C7" w14:textId="77777777" w:rsidTr="0049279C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9FC7210" w14:textId="77777777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0AE99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SDCG EXEC to follow-up with Carly Green on the correct approach to engage the MGD Advisory Group on the potential inclusion of Early Warning systems, following the discussions around the MGD Advisor Group process.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68DF38" w14:textId="77777777" w:rsidR="0049279C" w:rsidRDefault="0049279C" w:rsidP="0049279C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  <w:p w14:paraId="2926F4CE" w14:textId="6F1F5B6E" w:rsidR="0049279C" w:rsidRPr="0049279C" w:rsidRDefault="0049279C" w:rsidP="0049279C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Theme="minorHAnsi" w:eastAsia="Calibri" w:hAnsiTheme="minorHAnsi" w:cs="Calibri"/>
                <w:sz w:val="22"/>
                <w:szCs w:val="22"/>
              </w:rPr>
              <w:t>Topic was raised at June GFOI Leads meeting – EW day planned for Monday 4 Sept</w:t>
            </w:r>
            <w:bookmarkEnd w:id="0"/>
            <w:bookmarkEnd w:id="1"/>
          </w:p>
        </w:tc>
      </w:tr>
      <w:tr w:rsidR="006A3FDB" w14:paraId="34620ADC" w14:textId="77777777" w:rsidTr="00E56C64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81B8FB3" w14:textId="3C3FDEE8" w:rsidR="006A3FDB" w:rsidRPr="00237EE5" w:rsidRDefault="006A3FDB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648D96" w14:textId="1F07A868" w:rsidR="006A3FDB" w:rsidRPr="00237EE5" w:rsidRDefault="006A3FDB" w:rsidP="002E45A7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SDCG EXEC to consider draft</w:t>
            </w:r>
            <w:r w:rsidR="002E45A7">
              <w:rPr>
                <w:rFonts w:ascii="Calibri" w:eastAsia="Calibri" w:hAnsi="Calibri" w:cs="Calibri"/>
                <w:sz w:val="22"/>
                <w:szCs w:val="22"/>
              </w:rPr>
              <w:t>ing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proposal for a ‘GFOI ALERT’ system addressing the potential for Early Warning systems, and potentially engaging existing activities such as JJ-FAST and GFW’s related activities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40C011" w14:textId="0F100384" w:rsidR="006A3FDB" w:rsidRPr="00E56C64" w:rsidRDefault="00E56C64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  <w:p w14:paraId="409878E0" w14:textId="39154F4D" w:rsidR="00E56C64" w:rsidRPr="00237EE5" w:rsidRDefault="00E56C64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Topic was raised at June GFOI Leads meeting – EW day planned for Monday 4 Sept</w:t>
            </w:r>
          </w:p>
        </w:tc>
      </w:tr>
      <w:tr w:rsidR="00E75334" w14:paraId="3E07D3C0" w14:textId="77777777" w:rsidTr="0081652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47CB13F" w14:textId="68C53B4A" w:rsidR="00E75334" w:rsidRPr="00237EE5" w:rsidRDefault="007A6A37" w:rsidP="00AD5C95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30j0zll" w:colFirst="0" w:colLast="0"/>
            <w:bookmarkEnd w:id="2"/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AD5C9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A88765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circulate the link to the GFOI R&amp;D group status report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7ECF96" w14:textId="77777777" w:rsidR="00816524" w:rsidRPr="00237EE5" w:rsidRDefault="00816524" w:rsidP="00816524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  <w:p w14:paraId="725EE86F" w14:textId="1FEE8F0D" w:rsidR="00E75334" w:rsidRPr="00237EE5" w:rsidRDefault="001C0F35" w:rsidP="00816524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hyperlink r:id="rId4">
              <w:r w:rsidR="00816524" w:rsidRPr="00237EE5">
                <w:rPr>
                  <w:rFonts w:asciiTheme="minorHAnsi" w:eastAsia="Calibri" w:hAnsiTheme="minorHAnsi" w:cs="Calibri"/>
                  <w:color w:val="1155CC"/>
                  <w:sz w:val="22"/>
                  <w:szCs w:val="22"/>
                  <w:u w:val="single"/>
                </w:rPr>
                <w:t>http://www.gfoi.org/gfoi-rd-progressreport_31mar2017/</w:t>
              </w:r>
            </w:hyperlink>
          </w:p>
        </w:tc>
      </w:tr>
      <w:tr w:rsidR="00E75334" w14:paraId="54D3A7F1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D53361B" w14:textId="685A660B" w:rsidR="00E75334" w:rsidRPr="00237EE5" w:rsidRDefault="007A6A37" w:rsidP="00AD5C95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AD5C9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F7CFC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work with Steven Hosford on ensuring that the potential requests for SPOT-6/-7 data are formulated and ready when the data becomes available.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384E5" w14:textId="491FC070" w:rsidR="00E75334" w:rsidRDefault="007F6606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SDCG-12</w:t>
            </w:r>
          </w:p>
          <w:p w14:paraId="607A747C" w14:textId="656C63F8" w:rsidR="00A7778A" w:rsidRPr="00237EE5" w:rsidRDefault="00451D88" w:rsidP="00451D88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82B10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Progress has been slow on the Airbus side, and</w:t>
            </w:r>
            <w:r w:rsidR="00532CC5" w:rsidRPr="00D82B10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if they aren’t responsive this action should be closed at SDCG-12</w:t>
            </w:r>
          </w:p>
        </w:tc>
      </w:tr>
      <w:tr w:rsidR="00E75334" w14:paraId="5D94F5B5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6DE9BCC" w14:textId="3D4C6C80" w:rsidR="00E75334" w:rsidRPr="00237EE5" w:rsidRDefault="007A6A37" w:rsidP="00042AC8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042AC8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B362" w14:textId="1FFE4C8A" w:rsidR="00E75334" w:rsidRPr="00237EE5" w:rsidRDefault="00536259" w:rsidP="002207F0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follow-up with Michael Bock and Helmut</w:t>
            </w:r>
            <w:r w:rsidR="003C289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on the required reporting on the R&amp;D groups using the TSX background mission data </w:t>
            </w:r>
            <w:proofErr w:type="gram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in order to</w:t>
            </w:r>
            <w:proofErr w:type="gram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help ensure the coverage and data provision can continue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A8723" w14:textId="77777777" w:rsidR="00E75334" w:rsidRDefault="007A6A37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  <w:p w14:paraId="1CED7B03" w14:textId="479E21C9" w:rsidR="007D6D8E" w:rsidRPr="00237EE5" w:rsidRDefault="00974A75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74A75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Origins of this action was DLR’s desire to have reporting on how TSX data was being used </w:t>
            </w:r>
            <w:proofErr w:type="gramStart"/>
            <w:r w:rsidRPr="00974A75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in order to</w:t>
            </w:r>
            <w:proofErr w:type="gramEnd"/>
            <w:r w:rsidRPr="00974A75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justify its </w:t>
            </w:r>
            <w:proofErr w:type="spellStart"/>
            <w:r w:rsidRPr="00974A75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on going</w:t>
            </w:r>
            <w:proofErr w:type="spellEnd"/>
            <w:r w:rsidRPr="00974A75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provision; to be addressed at SDCG-12</w:t>
            </w:r>
          </w:p>
        </w:tc>
      </w:tr>
      <w:tr w:rsidR="008C0548" w14:paraId="05D57E7F" w14:textId="77777777" w:rsidTr="0003754C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5B80BE" w14:textId="175D6F66" w:rsidR="008C0548" w:rsidRPr="00237EE5" w:rsidRDefault="008C0548" w:rsidP="00343ABF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343ABF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66BACF" w14:textId="0E5ADA80" w:rsidR="008C0548" w:rsidRPr="00237EE5" w:rsidRDefault="00833CD8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SDCG agencies asked to review the sections of v3.0 of the 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Element-3 document </w:t>
            </w:r>
            <w:r w:rsidRPr="00237EE5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related to their missions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98378" w14:textId="38FC8099" w:rsidR="008C0548" w:rsidRPr="0003754C" w:rsidRDefault="0003754C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3754C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COMPLETE</w:t>
            </w:r>
          </w:p>
        </w:tc>
      </w:tr>
      <w:tr w:rsidR="00EC21DB" w14:paraId="78D2CA50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C6B990" w14:textId="322FD592" w:rsidR="00EC21DB" w:rsidRPr="00237EE5" w:rsidRDefault="00EC21DB" w:rsidP="00343ABF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343ABF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9B86F" w14:textId="0BDFF10C" w:rsidR="00EC21DB" w:rsidRPr="00237EE5" w:rsidRDefault="00EC21DB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Brian to follow-up with Yves on the potential to include RADARSAT data in the Vietnam Cube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91DD7" w14:textId="77777777" w:rsidR="00EC21DB" w:rsidRDefault="00EC21DB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May 2017</w:t>
            </w:r>
          </w:p>
          <w:p w14:paraId="08CE9088" w14:textId="37CB74DB" w:rsidR="00DF7EB9" w:rsidRPr="00DF7EB9" w:rsidRDefault="00DF7EB9" w:rsidP="00DF7EB9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Brian has been in discussion with Yves regarding sample </w:t>
            </w:r>
            <w:proofErr w:type="spellStart"/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Radarsat</w:t>
            </w:r>
            <w:proofErr w:type="spellEnd"/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data for Vietnam</w:t>
            </w:r>
            <w:r w:rsidR="00CD2EC0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, and they </w:t>
            </w:r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have identified some relevant scenes (~160). </w:t>
            </w:r>
            <w:r w:rsidR="000E0A3F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Question whether </w:t>
            </w:r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Vietnam is “ready” for this data, so we will prepare the data at SEO and develop the Data Cube </w:t>
            </w:r>
            <w:proofErr w:type="spellStart"/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ingestors</w:t>
            </w:r>
            <w:proofErr w:type="spellEnd"/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before we discuss interactions with Vietnam. The SEO asked CSA </w:t>
            </w:r>
            <w:r w:rsidR="00C450B7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(</w:t>
            </w:r>
            <w:r w:rsidR="00C450B7"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June 19</w:t>
            </w:r>
            <w:r w:rsidR="00C450B7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) </w:t>
            </w:r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for a sample </w:t>
            </w:r>
            <w:proofErr w:type="spellStart"/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ScanSAR</w:t>
            </w:r>
            <w:proofErr w:type="spellEnd"/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-narrow dataset and to review the candidate Vietnam scenes to yield only </w:t>
            </w:r>
            <w:proofErr w:type="spellStart"/>
            <w:r w:rsidR="0079783E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ScanSAR</w:t>
            </w:r>
            <w:proofErr w:type="spellEnd"/>
            <w:r w:rsidR="0079783E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narrow (50m resolution), and </w:t>
            </w:r>
            <w:r w:rsidRPr="00DF7EB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action is now on CSA to provide the data.  </w:t>
            </w:r>
          </w:p>
          <w:p w14:paraId="39B53C30" w14:textId="522C4E8E" w:rsidR="00FB2156" w:rsidRPr="00237EE5" w:rsidRDefault="00FB2156" w:rsidP="0003514F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E75334" w14:paraId="16ECEA61" w14:textId="77777777" w:rsidTr="001C00BB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6A315DE" w14:textId="5812CF11" w:rsidR="00E75334" w:rsidRPr="00237EE5" w:rsidRDefault="007A6A37" w:rsidP="00343ABF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lastRenderedPageBreak/>
              <w:t>SDCG-11-</w:t>
            </w:r>
            <w:r w:rsidR="00343ABF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8ABBD1" w14:textId="571D6CF2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with Erik on the </w:t>
            </w:r>
            <w:proofErr w:type="spellStart"/>
            <w:r w:rsidR="00B06CAE" w:rsidRPr="00237EE5">
              <w:rPr>
                <w:rFonts w:asciiTheme="minorHAnsi" w:eastAsia="Calibri" w:hAnsiTheme="minorHAnsi" w:cs="Calibri"/>
                <w:sz w:val="22"/>
                <w:szCs w:val="22"/>
              </w:rPr>
              <w:t>OpenForis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BRDF</w:t>
            </w:r>
            <w:r w:rsidR="00B06CAE"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and solar illumination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algorithms they have implemented in Google Earth Engine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74D265" w14:textId="74F65375" w:rsidR="00E75334" w:rsidRPr="001C00BB" w:rsidRDefault="001C00BB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C00BB">
              <w:rPr>
                <w:rFonts w:asciiTheme="minorHAnsi" w:eastAsia="Calibri" w:hAnsiTheme="minorHAnsi" w:cs="Calibri"/>
                <w:b/>
                <w:sz w:val="22"/>
                <w:szCs w:val="22"/>
              </w:rPr>
              <w:t>CLOSED</w:t>
            </w:r>
          </w:p>
          <w:p w14:paraId="0B77BBE8" w14:textId="28EC95A2" w:rsidR="001C00BB" w:rsidRPr="001C00BB" w:rsidRDefault="001C00BB" w:rsidP="001C00BB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  <w:r w:rsidRPr="001C00BB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The SEO has decided to pursue the BRDF and solar illumination algorithms from CSIRO (Peter </w:t>
            </w:r>
            <w:proofErr w:type="spellStart"/>
            <w:r w:rsidRPr="001C00BB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Caccetta</w:t>
            </w:r>
            <w:proofErr w:type="spellEnd"/>
            <w:r w:rsidRPr="001C00BB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).</w:t>
            </w:r>
            <w:r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Progress slow with CSIRO.</w:t>
            </w:r>
          </w:p>
          <w:p w14:paraId="4A54166B" w14:textId="58FA0AA8" w:rsidR="00F46CC1" w:rsidRPr="00237EE5" w:rsidRDefault="00F46CC1" w:rsidP="0003514F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2CE" w14:paraId="791DEE8C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40997DE" w14:textId="49390FD6" w:rsidR="00D802CE" w:rsidRPr="00237EE5" w:rsidRDefault="00D802CE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FD5B7E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3F871" w14:textId="1B04BE05" w:rsidR="00D802CE" w:rsidRPr="00237EE5" w:rsidRDefault="00D802CE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on the potential to apply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PyCCDC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to Sentinel-1 and/or ALOS data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A5194" w14:textId="13C29EB3" w:rsidR="00D802CE" w:rsidRPr="001C0F35" w:rsidRDefault="00702163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bookmarkStart w:id="3" w:name="_GoBack"/>
            <w:r w:rsidRPr="001C0F35">
              <w:rPr>
                <w:rFonts w:asciiTheme="minorHAnsi" w:eastAsia="Calibri" w:hAnsiTheme="minorHAnsi" w:cs="Calibri"/>
                <w:b/>
                <w:sz w:val="22"/>
                <w:szCs w:val="22"/>
              </w:rPr>
              <w:t>On Hold</w:t>
            </w:r>
          </w:p>
          <w:bookmarkEnd w:id="3"/>
          <w:p w14:paraId="0C2EC3E5" w14:textId="7583CB50" w:rsidR="00984A14" w:rsidRPr="00C90E09" w:rsidRDefault="00C90E09" w:rsidP="00C90E09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  <w:r w:rsidRPr="00C90E0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This task is on hold due to other higher priority work. It is possible this task may yield some progress in late 2017.</w:t>
            </w:r>
          </w:p>
        </w:tc>
      </w:tr>
      <w:tr w:rsidR="00D802CE" w14:paraId="2CE7B5F2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AD74712" w14:textId="40B8C2EC" w:rsidR="00D802CE" w:rsidRPr="00237EE5" w:rsidRDefault="00D802CE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FD5B7E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E6324" w14:textId="6A507B18" w:rsidR="00D802CE" w:rsidRPr="00237EE5" w:rsidRDefault="00EC18B3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Brian to follow-up with Erik</w:t>
            </w:r>
            <w:r w:rsidR="00D802CE"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on a potential demonstration of a SEPAL connection to the data cube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8E795" w14:textId="3A04BEC4" w:rsidR="00D802CE" w:rsidRPr="001C0F35" w:rsidRDefault="00F81AD1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1C0F35">
              <w:rPr>
                <w:rFonts w:asciiTheme="minorHAnsi" w:eastAsia="Calibri" w:hAnsiTheme="minorHAnsi" w:cs="Calibri"/>
                <w:b/>
                <w:sz w:val="22"/>
                <w:szCs w:val="22"/>
              </w:rPr>
              <w:t>On Hold</w:t>
            </w:r>
          </w:p>
          <w:p w14:paraId="5BBE419B" w14:textId="2C8F3364" w:rsidR="00984A14" w:rsidRPr="00F81AD1" w:rsidRDefault="00F81AD1" w:rsidP="00F81AD1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  <w:r w:rsidRPr="00F81AD1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There has not been any feedback or regular interaction with FAO on this subject.</w:t>
            </w:r>
            <w:r w:rsidR="007B091C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Erik to present</w:t>
            </w:r>
            <w:r w:rsidR="00EC18B3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on SEPAL at SDCG-12.</w:t>
            </w:r>
            <w:r w:rsidR="007B091C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75334" w14:paraId="2D572A0C" w14:textId="77777777" w:rsidTr="009D7CED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8EC3C4C" w14:textId="249AD79B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5B6BA4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17D6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Ake to follow-up with the GFOI R&amp;D Component Coordination Group to ensure follow-up and next steps on potential Horizon 2020 funding for GFOI R&amp;D activities are defined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07C2" w14:textId="36A2A4C1" w:rsidR="00E75334" w:rsidRPr="009D7CED" w:rsidRDefault="009D7CED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SDCG-12</w:t>
            </w:r>
          </w:p>
          <w:p w14:paraId="2BE939B2" w14:textId="6EE3FF81" w:rsidR="0003514F" w:rsidRPr="009D7CED" w:rsidRDefault="009D7CED" w:rsidP="009D7CED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F</w:t>
            </w:r>
            <w:r w:rsidR="003E5CB9"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rank </w:t>
            </w:r>
            <w:r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M</w:t>
            </w:r>
            <w:r w:rsidR="003E5CB9"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artin</w:t>
            </w:r>
            <w:r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to contact DG GROW on wording of H2020 draft call</w:t>
            </w:r>
            <w:r w:rsidR="008D6E06"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, </w:t>
            </w:r>
            <w:proofErr w:type="gramStart"/>
            <w:r w:rsidR="008D6E06"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and also</w:t>
            </w:r>
            <w:proofErr w:type="gramEnd"/>
            <w:r w:rsidR="008D6E06" w:rsidRPr="008D6E0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to confirm if there is anything that can be done to progress this issue around SDCG-12.</w:t>
            </w:r>
          </w:p>
        </w:tc>
      </w:tr>
      <w:tr w:rsidR="00E75334" w14:paraId="7DB8C509" w14:textId="77777777" w:rsidTr="008C4486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3F4D3AC" w14:textId="364900B0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</w:t>
            </w:r>
            <w:r w:rsidR="002C7AC2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13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6921A2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Brian to provide Pedro with the details of the Kenya Cube hosted on AWS so Pedro may be able to share it with his Forests 2020 Kenya contacts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3C2DDF" w14:textId="788BF2B3" w:rsidR="00E75334" w:rsidRPr="00237EE5" w:rsidRDefault="00B06CAE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</w:tc>
      </w:tr>
      <w:tr w:rsidR="00E75334" w14:paraId="2346EBF5" w14:textId="77777777" w:rsidTr="002517A6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46BE261" w14:textId="050E8D85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</w:t>
            </w:r>
            <w:r w:rsidR="00CF21FA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D883AC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Yves to follow-up with Fred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Stolle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on the potential to provide archive radar data in support of the development of GFW’s radar near real time alerts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166ED5" w14:textId="12623CBB" w:rsidR="00E75334" w:rsidRPr="00FF2297" w:rsidRDefault="00FF2297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F2297">
              <w:rPr>
                <w:rFonts w:asciiTheme="minorHAnsi" w:eastAsia="Calibri" w:hAnsiTheme="minorHAnsi" w:cs="Calibri"/>
                <w:b/>
                <w:sz w:val="22"/>
                <w:szCs w:val="22"/>
              </w:rPr>
              <w:t>CLOSED</w:t>
            </w:r>
          </w:p>
          <w:p w14:paraId="72402E8E" w14:textId="49CA8AF5" w:rsidR="00FF7CA2" w:rsidRPr="00237EE5" w:rsidRDefault="00E00160" w:rsidP="00FF229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0160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Stephen has pinged Yves and several other SDCG agencies on contribution to EW</w:t>
            </w:r>
            <w:r w:rsidR="00FF2297" w:rsidRPr="00FF2297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. Discussed at EW meetings Monday SDCG-12.</w:t>
            </w:r>
          </w:p>
        </w:tc>
      </w:tr>
      <w:tr w:rsidR="00B742C2" w14:paraId="4A7273D6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DD7E681" w14:textId="167ABC9A" w:rsidR="00B742C2" w:rsidRPr="00237EE5" w:rsidRDefault="00355AD8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2B1FD" w14:textId="69A1A1AB" w:rsidR="00B742C2" w:rsidRPr="00237EE5" w:rsidRDefault="00B742C2">
            <w:pPr>
              <w:spacing w:before="40" w:after="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Brian, in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collaboration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with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Stephen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and George to explore the potential to link Vietnam Data Cube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activities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to NASA/SERVIR via existing Vietnamese interfaces to SERVIR (e.g. VNSC, FIPI, other). Brian to follow-up with Dan Irwin on the Vietnamese national contact agencies and </w:t>
            </w:r>
            <w:r w:rsidR="005A6C1B" w:rsidRPr="00237EE5">
              <w:rPr>
                <w:rFonts w:asciiTheme="minorHAnsi" w:eastAsia="Calibri" w:hAnsiTheme="minorHAnsi" w:cs="Calibri"/>
                <w:sz w:val="22"/>
                <w:szCs w:val="22"/>
              </w:rPr>
              <w:t>individuals</w:t>
            </w: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for SERVIR.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2626" w14:textId="3A42D311" w:rsidR="00B742C2" w:rsidRPr="00AB60AF" w:rsidRDefault="00D152BF">
            <w:pPr>
              <w:spacing w:before="40" w:after="4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On Hold</w:t>
            </w:r>
          </w:p>
          <w:p w14:paraId="3863098F" w14:textId="22BCBA69" w:rsidR="001B1D2B" w:rsidRPr="00904976" w:rsidRDefault="00904976" w:rsidP="00A43FD0">
            <w:pPr>
              <w:spacing w:before="40" w:after="40"/>
              <w:jc w:val="center"/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</w:pPr>
            <w:r w:rsidRPr="0090497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There have not been any interactions with SERVIR in the past few months. </w:t>
            </w:r>
            <w:proofErr w:type="gramStart"/>
            <w:r w:rsidRPr="0090497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In order to</w:t>
            </w:r>
            <w:proofErr w:type="gramEnd"/>
            <w:r w:rsidRPr="00904976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have any chance to engage SERVIR, we will need a strong “user pull” from the Vietnam or Cambodia users</w:t>
            </w:r>
            <w:r w:rsidR="007E05C9" w:rsidRPr="007E05C9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.</w:t>
            </w:r>
            <w:r w:rsidR="00AB60AF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 xml:space="preserve"> </w:t>
            </w:r>
            <w:r w:rsidR="00A43FD0">
              <w:rPr>
                <w:rFonts w:asciiTheme="minorHAnsi" w:eastAsia="Calibri" w:hAnsiTheme="minorHAnsi" w:cs="Calibri"/>
                <w:sz w:val="22"/>
                <w:szCs w:val="22"/>
                <w:highlight w:val="yellow"/>
              </w:rPr>
              <w:t>GA’s activities with Cambodia may present an option to move forward, but this action can probably be closed or put on hold.</w:t>
            </w:r>
          </w:p>
        </w:tc>
      </w:tr>
      <w:tr w:rsidR="00E75334" w14:paraId="6569DCFE" w14:textId="77777777" w:rsidTr="00D10DA9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2D6DEE8" w14:textId="49375A66" w:rsidR="00E75334" w:rsidRPr="00237EE5" w:rsidRDefault="007A6A37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</w:t>
            </w:r>
            <w:r w:rsidR="002D5CB6"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32605E" w14:textId="77777777" w:rsidR="00E75334" w:rsidRPr="00237EE5" w:rsidRDefault="007A6A37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with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Edersson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on the location of the recent landslides in Colombia to look at the results the Data Cube landslides algorithm would generate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A7DA2D" w14:textId="029BB85B" w:rsidR="00E75334" w:rsidRPr="00D10DA9" w:rsidRDefault="00D10DA9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10DA9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</w:tc>
      </w:tr>
      <w:tr w:rsidR="00D10DA9" w14:paraId="605779FB" w14:textId="77777777" w:rsidTr="00D10DA9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94FE4CD" w14:textId="242406CB" w:rsidR="00D10DA9" w:rsidRPr="00237EE5" w:rsidRDefault="00D10DA9">
            <w:pPr>
              <w:spacing w:before="40" w:after="40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b/>
                <w:color w:val="DBE5F1"/>
                <w:sz w:val="22"/>
                <w:szCs w:val="22"/>
              </w:rPr>
              <w:t>SDCG-11-17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094EDB" w14:textId="77777777" w:rsidR="00D10DA9" w:rsidRPr="00237EE5" w:rsidRDefault="00D10DA9">
            <w:pPr>
              <w:spacing w:before="40" w:after="40"/>
              <w:contextualSpacing w:val="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Brian to follow-up with </w:t>
            </w:r>
            <w:proofErr w:type="spell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Edersson</w:t>
            </w:r>
            <w:proofErr w:type="spell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to share the recent development of the CCDC algorithm </w:t>
            </w:r>
            <w:proofErr w:type="gramStart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>in order to</w:t>
            </w:r>
            <w:proofErr w:type="gramEnd"/>
            <w:r w:rsidRPr="00237EE5">
              <w:rPr>
                <w:rFonts w:asciiTheme="minorHAnsi" w:eastAsia="Calibri" w:hAnsiTheme="minorHAnsi" w:cs="Calibri"/>
                <w:sz w:val="22"/>
                <w:szCs w:val="22"/>
              </w:rPr>
              <w:t xml:space="preserve"> get his feedback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232536" w14:textId="00952B0C" w:rsidR="00D10DA9" w:rsidRPr="00237EE5" w:rsidRDefault="00D10DA9">
            <w:pPr>
              <w:spacing w:before="40" w:after="40"/>
              <w:contextualSpacing w:val="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10DA9">
              <w:rPr>
                <w:rFonts w:asciiTheme="minorHAnsi" w:eastAsia="Calibri" w:hAnsiTheme="minorHAnsi" w:cs="Calibri"/>
                <w:b/>
                <w:sz w:val="22"/>
                <w:szCs w:val="22"/>
              </w:rPr>
              <w:t>COMPLETE</w:t>
            </w:r>
          </w:p>
        </w:tc>
      </w:tr>
    </w:tbl>
    <w:p w14:paraId="5901F942" w14:textId="77777777" w:rsidR="00E75334" w:rsidRDefault="00E75334"/>
    <w:sectPr w:rsidR="00E75334">
      <w:pgSz w:w="11907" w:h="16839"/>
      <w:pgMar w:top="1440" w:right="1800" w:bottom="90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5334"/>
    <w:rsid w:val="0003514F"/>
    <w:rsid w:val="0003754C"/>
    <w:rsid w:val="00042AC8"/>
    <w:rsid w:val="000A1CDE"/>
    <w:rsid w:val="000E0A3F"/>
    <w:rsid w:val="000E62EA"/>
    <w:rsid w:val="000F05B7"/>
    <w:rsid w:val="00100B4D"/>
    <w:rsid w:val="00101FA4"/>
    <w:rsid w:val="00105ABD"/>
    <w:rsid w:val="00106152"/>
    <w:rsid w:val="00125EE1"/>
    <w:rsid w:val="001B1D2B"/>
    <w:rsid w:val="001C00BB"/>
    <w:rsid w:val="001C0F35"/>
    <w:rsid w:val="001D21D1"/>
    <w:rsid w:val="002207F0"/>
    <w:rsid w:val="00237EE5"/>
    <w:rsid w:val="002517A6"/>
    <w:rsid w:val="002531F9"/>
    <w:rsid w:val="002707D9"/>
    <w:rsid w:val="00276748"/>
    <w:rsid w:val="002A07DF"/>
    <w:rsid w:val="002C7AC2"/>
    <w:rsid w:val="002D5CB6"/>
    <w:rsid w:val="002E45A7"/>
    <w:rsid w:val="00343ABF"/>
    <w:rsid w:val="00355AD8"/>
    <w:rsid w:val="003C2898"/>
    <w:rsid w:val="003E5AA8"/>
    <w:rsid w:val="003E5CB9"/>
    <w:rsid w:val="00451D88"/>
    <w:rsid w:val="00465976"/>
    <w:rsid w:val="00472C31"/>
    <w:rsid w:val="0049279C"/>
    <w:rsid w:val="004D1647"/>
    <w:rsid w:val="00532CC5"/>
    <w:rsid w:val="00536259"/>
    <w:rsid w:val="0057675A"/>
    <w:rsid w:val="00584369"/>
    <w:rsid w:val="005A6C1B"/>
    <w:rsid w:val="005B6BA4"/>
    <w:rsid w:val="005C2905"/>
    <w:rsid w:val="006676EC"/>
    <w:rsid w:val="00691D59"/>
    <w:rsid w:val="006A3FDB"/>
    <w:rsid w:val="006C1AAA"/>
    <w:rsid w:val="006F17EE"/>
    <w:rsid w:val="00702163"/>
    <w:rsid w:val="0079783E"/>
    <w:rsid w:val="007A6A37"/>
    <w:rsid w:val="007B091C"/>
    <w:rsid w:val="007D6D8E"/>
    <w:rsid w:val="007E05C9"/>
    <w:rsid w:val="007F6606"/>
    <w:rsid w:val="00816524"/>
    <w:rsid w:val="00833CD8"/>
    <w:rsid w:val="008A0847"/>
    <w:rsid w:val="008C0548"/>
    <w:rsid w:val="008C4486"/>
    <w:rsid w:val="008D6E06"/>
    <w:rsid w:val="00904976"/>
    <w:rsid w:val="0091333E"/>
    <w:rsid w:val="0095495F"/>
    <w:rsid w:val="00974A75"/>
    <w:rsid w:val="00981576"/>
    <w:rsid w:val="00984A14"/>
    <w:rsid w:val="009D7CED"/>
    <w:rsid w:val="00A43FD0"/>
    <w:rsid w:val="00A508FA"/>
    <w:rsid w:val="00A7778A"/>
    <w:rsid w:val="00AB60AF"/>
    <w:rsid w:val="00AD5C95"/>
    <w:rsid w:val="00AE0BE3"/>
    <w:rsid w:val="00B06CAE"/>
    <w:rsid w:val="00B14753"/>
    <w:rsid w:val="00B278AF"/>
    <w:rsid w:val="00B742C2"/>
    <w:rsid w:val="00BC3931"/>
    <w:rsid w:val="00BD1517"/>
    <w:rsid w:val="00BF3C3D"/>
    <w:rsid w:val="00C37BA4"/>
    <w:rsid w:val="00C450B7"/>
    <w:rsid w:val="00C56EB7"/>
    <w:rsid w:val="00C90E09"/>
    <w:rsid w:val="00CD2EC0"/>
    <w:rsid w:val="00CD5B79"/>
    <w:rsid w:val="00CF21FA"/>
    <w:rsid w:val="00D10DA9"/>
    <w:rsid w:val="00D152BF"/>
    <w:rsid w:val="00D802CE"/>
    <w:rsid w:val="00D82B10"/>
    <w:rsid w:val="00DA6281"/>
    <w:rsid w:val="00DF7EB9"/>
    <w:rsid w:val="00E00160"/>
    <w:rsid w:val="00E4784A"/>
    <w:rsid w:val="00E56C64"/>
    <w:rsid w:val="00E75334"/>
    <w:rsid w:val="00EA40F8"/>
    <w:rsid w:val="00EC18B3"/>
    <w:rsid w:val="00EC21DB"/>
    <w:rsid w:val="00EF096D"/>
    <w:rsid w:val="00F46CC1"/>
    <w:rsid w:val="00F81AD1"/>
    <w:rsid w:val="00FB2156"/>
    <w:rsid w:val="00FD5B7E"/>
    <w:rsid w:val="00FF2297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8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76" w:hanging="576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864" w:hanging="864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C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foi.org/gfoi-rd-progressreport_31mar2017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744</Words>
  <Characters>4245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Dyke</cp:lastModifiedBy>
  <cp:revision>83</cp:revision>
  <dcterms:created xsi:type="dcterms:W3CDTF">2017-04-24T11:22:00Z</dcterms:created>
  <dcterms:modified xsi:type="dcterms:W3CDTF">2017-09-04T17:05:00Z</dcterms:modified>
</cp:coreProperties>
</file>