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2D6C6" w14:textId="77777777" w:rsidR="00330A6B" w:rsidRDefault="00330A6B">
      <w:pPr>
        <w:ind w:left="720" w:hanging="360"/>
      </w:pPr>
    </w:p>
    <w:p w14:paraId="4E163C20" w14:textId="77777777" w:rsidR="00330A6B" w:rsidRDefault="00330A6B">
      <w:pPr>
        <w:pBdr>
          <w:top w:val="nil"/>
          <w:left w:val="nil"/>
          <w:bottom w:val="nil"/>
          <w:right w:val="nil"/>
          <w:between w:val="nil"/>
        </w:pBdr>
        <w:spacing w:after="0"/>
        <w:ind w:left="360"/>
        <w:jc w:val="center"/>
        <w:rPr>
          <w:color w:val="222222"/>
        </w:rPr>
      </w:pPr>
    </w:p>
    <w:p w14:paraId="460D7B6E" w14:textId="77777777" w:rsidR="00330A6B" w:rsidRDefault="00330A6B">
      <w:pPr>
        <w:pBdr>
          <w:top w:val="nil"/>
          <w:left w:val="nil"/>
          <w:bottom w:val="nil"/>
          <w:right w:val="nil"/>
          <w:between w:val="nil"/>
        </w:pBdr>
        <w:spacing w:after="0"/>
        <w:ind w:left="360"/>
        <w:jc w:val="center"/>
        <w:rPr>
          <w:color w:val="222222"/>
        </w:rPr>
      </w:pPr>
    </w:p>
    <w:p w14:paraId="0E4502B5" w14:textId="77777777" w:rsidR="00330A6B" w:rsidRDefault="00330A6B">
      <w:pPr>
        <w:pBdr>
          <w:top w:val="nil"/>
          <w:left w:val="nil"/>
          <w:bottom w:val="nil"/>
          <w:right w:val="nil"/>
          <w:between w:val="nil"/>
        </w:pBdr>
        <w:spacing w:after="0"/>
        <w:ind w:left="360"/>
        <w:jc w:val="center"/>
        <w:rPr>
          <w:color w:val="222222"/>
        </w:rPr>
      </w:pPr>
    </w:p>
    <w:p w14:paraId="088581C5" w14:textId="77777777" w:rsidR="00330A6B" w:rsidRDefault="00330A6B">
      <w:pPr>
        <w:pBdr>
          <w:top w:val="nil"/>
          <w:left w:val="nil"/>
          <w:bottom w:val="nil"/>
          <w:right w:val="nil"/>
          <w:between w:val="nil"/>
        </w:pBdr>
        <w:spacing w:after="0"/>
        <w:ind w:left="360"/>
        <w:jc w:val="center"/>
        <w:rPr>
          <w:color w:val="222222"/>
        </w:rPr>
      </w:pPr>
    </w:p>
    <w:p w14:paraId="04D015E5" w14:textId="77777777" w:rsidR="00330A6B" w:rsidRDefault="00330A6B">
      <w:pPr>
        <w:pBdr>
          <w:top w:val="nil"/>
          <w:left w:val="nil"/>
          <w:bottom w:val="nil"/>
          <w:right w:val="nil"/>
          <w:between w:val="nil"/>
        </w:pBdr>
        <w:spacing w:after="0"/>
        <w:ind w:left="360"/>
        <w:jc w:val="center"/>
        <w:rPr>
          <w:color w:val="222222"/>
        </w:rPr>
      </w:pPr>
    </w:p>
    <w:p w14:paraId="3DE4B5ED" w14:textId="77777777" w:rsidR="00330A6B" w:rsidRDefault="00330A6B">
      <w:pPr>
        <w:pBdr>
          <w:top w:val="nil"/>
          <w:left w:val="nil"/>
          <w:bottom w:val="nil"/>
          <w:right w:val="nil"/>
          <w:between w:val="nil"/>
        </w:pBdr>
        <w:spacing w:after="0"/>
        <w:ind w:left="360"/>
        <w:jc w:val="center"/>
        <w:rPr>
          <w:color w:val="222222"/>
        </w:rPr>
      </w:pPr>
    </w:p>
    <w:p w14:paraId="0A2426BC" w14:textId="77777777" w:rsidR="00330A6B" w:rsidRDefault="00287EB0">
      <w:pPr>
        <w:pBdr>
          <w:top w:val="nil"/>
          <w:left w:val="nil"/>
          <w:bottom w:val="nil"/>
          <w:right w:val="nil"/>
          <w:between w:val="nil"/>
        </w:pBdr>
        <w:spacing w:after="0"/>
        <w:ind w:left="360"/>
        <w:jc w:val="center"/>
        <w:rPr>
          <w:b/>
          <w:color w:val="222222"/>
          <w:sz w:val="40"/>
          <w:szCs w:val="40"/>
        </w:rPr>
      </w:pPr>
      <w:r>
        <w:rPr>
          <w:b/>
          <w:color w:val="222222"/>
          <w:sz w:val="40"/>
          <w:szCs w:val="40"/>
        </w:rPr>
        <w:t>ROADMAP FOR IMPLEMENTATION OF A CONSTELLATION ARCHITECTURE FOR MONITORING CARBON DIOXIDE AND METHANE FROM SPACE</w:t>
      </w:r>
    </w:p>
    <w:p w14:paraId="27EEA169" w14:textId="77777777" w:rsidR="00330A6B" w:rsidRDefault="00330A6B">
      <w:pPr>
        <w:pBdr>
          <w:top w:val="nil"/>
          <w:left w:val="nil"/>
          <w:bottom w:val="nil"/>
          <w:right w:val="nil"/>
          <w:between w:val="nil"/>
        </w:pBdr>
        <w:spacing w:after="0"/>
        <w:jc w:val="left"/>
        <w:rPr>
          <w:color w:val="222222"/>
        </w:rPr>
      </w:pPr>
    </w:p>
    <w:p w14:paraId="08B30BF2" w14:textId="77777777" w:rsidR="00330A6B" w:rsidRDefault="00330A6B">
      <w:pPr>
        <w:pBdr>
          <w:top w:val="nil"/>
          <w:left w:val="nil"/>
          <w:bottom w:val="nil"/>
          <w:right w:val="nil"/>
          <w:between w:val="nil"/>
        </w:pBdr>
        <w:spacing w:after="0"/>
        <w:jc w:val="left"/>
        <w:rPr>
          <w:color w:val="222222"/>
        </w:rPr>
      </w:pPr>
    </w:p>
    <w:p w14:paraId="57DDEB60" w14:textId="77777777" w:rsidR="00330A6B" w:rsidRDefault="00330A6B">
      <w:pPr>
        <w:pBdr>
          <w:top w:val="nil"/>
          <w:left w:val="nil"/>
          <w:bottom w:val="nil"/>
          <w:right w:val="nil"/>
          <w:between w:val="nil"/>
        </w:pBdr>
        <w:spacing w:after="0"/>
        <w:jc w:val="left"/>
        <w:rPr>
          <w:color w:val="222222"/>
        </w:rPr>
      </w:pPr>
    </w:p>
    <w:p w14:paraId="779B9F02" w14:textId="77777777" w:rsidR="00330A6B" w:rsidRDefault="00330A6B">
      <w:pPr>
        <w:pBdr>
          <w:top w:val="nil"/>
          <w:left w:val="nil"/>
          <w:bottom w:val="nil"/>
          <w:right w:val="nil"/>
          <w:between w:val="nil"/>
        </w:pBdr>
        <w:spacing w:after="0"/>
        <w:jc w:val="left"/>
        <w:rPr>
          <w:color w:val="222222"/>
        </w:rPr>
      </w:pPr>
    </w:p>
    <w:p w14:paraId="28300777" w14:textId="77777777" w:rsidR="00330A6B" w:rsidRDefault="00330A6B">
      <w:pPr>
        <w:pBdr>
          <w:top w:val="nil"/>
          <w:left w:val="nil"/>
          <w:bottom w:val="nil"/>
          <w:right w:val="nil"/>
          <w:between w:val="nil"/>
        </w:pBdr>
        <w:spacing w:after="0"/>
        <w:jc w:val="left"/>
        <w:rPr>
          <w:color w:val="222222"/>
        </w:rPr>
      </w:pPr>
    </w:p>
    <w:p w14:paraId="559B1DE5" w14:textId="77777777" w:rsidR="00330A6B" w:rsidRDefault="00287EB0">
      <w:pPr>
        <w:spacing w:after="160" w:line="259" w:lineRule="auto"/>
        <w:jc w:val="left"/>
        <w:rPr>
          <w:color w:val="222222"/>
        </w:rPr>
      </w:pPr>
      <w:r>
        <w:br w:type="page"/>
      </w:r>
    </w:p>
    <w:sdt>
      <w:sdtPr>
        <w:id w:val="-1190603818"/>
        <w:docPartObj>
          <w:docPartGallery w:val="Table of Contents"/>
          <w:docPartUnique/>
        </w:docPartObj>
      </w:sdtPr>
      <w:sdtEndPr/>
      <w:sdtContent>
        <w:p w14:paraId="13879B52" w14:textId="6B1AC203" w:rsidR="008D1794" w:rsidRDefault="00287EB0">
          <w:pPr>
            <w:pStyle w:val="TOC1"/>
            <w:tabs>
              <w:tab w:val="left" w:pos="440"/>
              <w:tab w:val="right" w:pos="9010"/>
            </w:tabs>
            <w:rPr>
              <w:rFonts w:asciiTheme="minorHAnsi" w:eastAsiaTheme="minorEastAsia" w:hAnsiTheme="minorHAnsi" w:cstheme="minorBidi"/>
              <w:noProof/>
            </w:rPr>
          </w:pPr>
          <w:r>
            <w:fldChar w:fldCharType="begin"/>
          </w:r>
          <w:r>
            <w:instrText xml:space="preserve"> TOC \h \u \z </w:instrText>
          </w:r>
          <w:r>
            <w:fldChar w:fldCharType="separate"/>
          </w:r>
          <w:bookmarkStart w:id="0" w:name="_GoBack"/>
          <w:bookmarkEnd w:id="0"/>
          <w:r w:rsidR="008D1794" w:rsidRPr="00C67892">
            <w:rPr>
              <w:rStyle w:val="Hyperlink"/>
              <w:noProof/>
            </w:rPr>
            <w:fldChar w:fldCharType="begin"/>
          </w:r>
          <w:r w:rsidR="008D1794" w:rsidRPr="00C67892">
            <w:rPr>
              <w:rStyle w:val="Hyperlink"/>
              <w:noProof/>
            </w:rPr>
            <w:instrText xml:space="preserve"> </w:instrText>
          </w:r>
          <w:r w:rsidR="008D1794">
            <w:rPr>
              <w:noProof/>
            </w:rPr>
            <w:instrText>HYPERLINK \l "_Toc21714986"</w:instrText>
          </w:r>
          <w:r w:rsidR="008D1794" w:rsidRPr="00C67892">
            <w:rPr>
              <w:rStyle w:val="Hyperlink"/>
              <w:noProof/>
            </w:rPr>
            <w:instrText xml:space="preserve"> </w:instrText>
          </w:r>
          <w:r w:rsidR="008D1794" w:rsidRPr="00C67892">
            <w:rPr>
              <w:rStyle w:val="Hyperlink"/>
              <w:noProof/>
            </w:rPr>
          </w:r>
          <w:r w:rsidR="008D1794" w:rsidRPr="00C67892">
            <w:rPr>
              <w:rStyle w:val="Hyperlink"/>
              <w:noProof/>
            </w:rPr>
            <w:fldChar w:fldCharType="separate"/>
          </w:r>
          <w:r w:rsidR="008D1794" w:rsidRPr="00C67892">
            <w:rPr>
              <w:rStyle w:val="Hyperlink"/>
              <w:noProof/>
            </w:rPr>
            <w:t>1</w:t>
          </w:r>
          <w:r w:rsidR="008D1794">
            <w:rPr>
              <w:rFonts w:asciiTheme="minorHAnsi" w:eastAsiaTheme="minorEastAsia" w:hAnsiTheme="minorHAnsi" w:cstheme="minorBidi"/>
              <w:noProof/>
            </w:rPr>
            <w:tab/>
          </w:r>
          <w:r w:rsidR="008D1794" w:rsidRPr="00C67892">
            <w:rPr>
              <w:rStyle w:val="Hyperlink"/>
              <w:noProof/>
            </w:rPr>
            <w:t>Scope and Objectives</w:t>
          </w:r>
          <w:r w:rsidR="008D1794">
            <w:rPr>
              <w:noProof/>
              <w:webHidden/>
            </w:rPr>
            <w:tab/>
          </w:r>
          <w:r w:rsidR="008D1794">
            <w:rPr>
              <w:noProof/>
              <w:webHidden/>
            </w:rPr>
            <w:fldChar w:fldCharType="begin"/>
          </w:r>
          <w:r w:rsidR="008D1794">
            <w:rPr>
              <w:noProof/>
              <w:webHidden/>
            </w:rPr>
            <w:instrText xml:space="preserve"> PAGEREF _Toc21714986 \h </w:instrText>
          </w:r>
          <w:r w:rsidR="008D1794">
            <w:rPr>
              <w:noProof/>
              <w:webHidden/>
            </w:rPr>
          </w:r>
          <w:r w:rsidR="008D1794">
            <w:rPr>
              <w:noProof/>
              <w:webHidden/>
            </w:rPr>
            <w:fldChar w:fldCharType="separate"/>
          </w:r>
          <w:r w:rsidR="008D1794">
            <w:rPr>
              <w:noProof/>
              <w:webHidden/>
            </w:rPr>
            <w:t>3</w:t>
          </w:r>
          <w:r w:rsidR="008D1794">
            <w:rPr>
              <w:noProof/>
              <w:webHidden/>
            </w:rPr>
            <w:fldChar w:fldCharType="end"/>
          </w:r>
          <w:r w:rsidR="008D1794" w:rsidRPr="00C67892">
            <w:rPr>
              <w:rStyle w:val="Hyperlink"/>
              <w:noProof/>
            </w:rPr>
            <w:fldChar w:fldCharType="end"/>
          </w:r>
        </w:p>
        <w:p w14:paraId="545E5841" w14:textId="71065579" w:rsidR="008D1794" w:rsidRDefault="008D1794">
          <w:pPr>
            <w:pStyle w:val="TOC1"/>
            <w:tabs>
              <w:tab w:val="left" w:pos="440"/>
              <w:tab w:val="right" w:pos="9010"/>
            </w:tabs>
            <w:rPr>
              <w:rFonts w:asciiTheme="minorHAnsi" w:eastAsiaTheme="minorEastAsia" w:hAnsiTheme="minorHAnsi" w:cstheme="minorBidi"/>
              <w:noProof/>
            </w:rPr>
          </w:pPr>
          <w:hyperlink w:anchor="_Toc21714987" w:history="1">
            <w:r w:rsidRPr="00C67892">
              <w:rPr>
                <w:rStyle w:val="Hyperlink"/>
                <w:noProof/>
              </w:rPr>
              <w:t>2</w:t>
            </w:r>
            <w:r>
              <w:rPr>
                <w:rFonts w:asciiTheme="minorHAnsi" w:eastAsiaTheme="minorEastAsia" w:hAnsiTheme="minorHAnsi" w:cstheme="minorBidi"/>
                <w:noProof/>
              </w:rPr>
              <w:tab/>
            </w:r>
            <w:r w:rsidRPr="00C67892">
              <w:rPr>
                <w:rStyle w:val="Hyperlink"/>
                <w:noProof/>
              </w:rPr>
              <w:t>Context</w:t>
            </w:r>
            <w:r>
              <w:rPr>
                <w:noProof/>
                <w:webHidden/>
              </w:rPr>
              <w:tab/>
            </w:r>
            <w:r>
              <w:rPr>
                <w:noProof/>
                <w:webHidden/>
              </w:rPr>
              <w:fldChar w:fldCharType="begin"/>
            </w:r>
            <w:r>
              <w:rPr>
                <w:noProof/>
                <w:webHidden/>
              </w:rPr>
              <w:instrText xml:space="preserve"> PAGEREF _Toc21714987 \h </w:instrText>
            </w:r>
            <w:r>
              <w:rPr>
                <w:noProof/>
                <w:webHidden/>
              </w:rPr>
            </w:r>
            <w:r>
              <w:rPr>
                <w:noProof/>
                <w:webHidden/>
              </w:rPr>
              <w:fldChar w:fldCharType="separate"/>
            </w:r>
            <w:r>
              <w:rPr>
                <w:noProof/>
                <w:webHidden/>
              </w:rPr>
              <w:t>4</w:t>
            </w:r>
            <w:r>
              <w:rPr>
                <w:noProof/>
                <w:webHidden/>
              </w:rPr>
              <w:fldChar w:fldCharType="end"/>
            </w:r>
          </w:hyperlink>
        </w:p>
        <w:p w14:paraId="426C89AF" w14:textId="2A90C543" w:rsidR="008D1794" w:rsidRDefault="008D1794">
          <w:pPr>
            <w:pStyle w:val="TOC1"/>
            <w:tabs>
              <w:tab w:val="left" w:pos="440"/>
              <w:tab w:val="right" w:pos="9010"/>
            </w:tabs>
            <w:rPr>
              <w:rFonts w:asciiTheme="minorHAnsi" w:eastAsiaTheme="minorEastAsia" w:hAnsiTheme="minorHAnsi" w:cstheme="minorBidi"/>
              <w:noProof/>
            </w:rPr>
          </w:pPr>
          <w:hyperlink w:anchor="_Toc21714988" w:history="1">
            <w:r w:rsidRPr="00C67892">
              <w:rPr>
                <w:rStyle w:val="Hyperlink"/>
                <w:noProof/>
              </w:rPr>
              <w:t>3</w:t>
            </w:r>
            <w:r>
              <w:rPr>
                <w:rFonts w:asciiTheme="minorHAnsi" w:eastAsiaTheme="minorEastAsia" w:hAnsiTheme="minorHAnsi" w:cstheme="minorBidi"/>
                <w:noProof/>
              </w:rPr>
              <w:tab/>
            </w:r>
            <w:r w:rsidRPr="00C67892">
              <w:rPr>
                <w:rStyle w:val="Hyperlink"/>
                <w:noProof/>
              </w:rPr>
              <w:t>Roadmap Objectives and Approach</w:t>
            </w:r>
            <w:r>
              <w:rPr>
                <w:noProof/>
                <w:webHidden/>
              </w:rPr>
              <w:tab/>
            </w:r>
            <w:r>
              <w:rPr>
                <w:noProof/>
                <w:webHidden/>
              </w:rPr>
              <w:fldChar w:fldCharType="begin"/>
            </w:r>
            <w:r>
              <w:rPr>
                <w:noProof/>
                <w:webHidden/>
              </w:rPr>
              <w:instrText xml:space="preserve"> PAGEREF _Toc21714988 \h </w:instrText>
            </w:r>
            <w:r>
              <w:rPr>
                <w:noProof/>
                <w:webHidden/>
              </w:rPr>
            </w:r>
            <w:r>
              <w:rPr>
                <w:noProof/>
                <w:webHidden/>
              </w:rPr>
              <w:fldChar w:fldCharType="separate"/>
            </w:r>
            <w:r>
              <w:rPr>
                <w:noProof/>
                <w:webHidden/>
              </w:rPr>
              <w:t>7</w:t>
            </w:r>
            <w:r>
              <w:rPr>
                <w:noProof/>
                <w:webHidden/>
              </w:rPr>
              <w:fldChar w:fldCharType="end"/>
            </w:r>
          </w:hyperlink>
        </w:p>
        <w:p w14:paraId="58EAD0C5" w14:textId="2045BB15" w:rsidR="008D1794" w:rsidRDefault="008D1794">
          <w:pPr>
            <w:pStyle w:val="TOC2"/>
            <w:tabs>
              <w:tab w:val="left" w:pos="880"/>
              <w:tab w:val="right" w:pos="9010"/>
            </w:tabs>
            <w:rPr>
              <w:rFonts w:asciiTheme="minorHAnsi" w:eastAsiaTheme="minorEastAsia" w:hAnsiTheme="minorHAnsi" w:cstheme="minorBidi"/>
              <w:noProof/>
            </w:rPr>
          </w:pPr>
          <w:hyperlink w:anchor="_Toc21714989" w:history="1">
            <w:r w:rsidRPr="00C67892">
              <w:rPr>
                <w:rStyle w:val="Hyperlink"/>
                <w:noProof/>
              </w:rPr>
              <w:t>3.1</w:t>
            </w:r>
            <w:r>
              <w:rPr>
                <w:rFonts w:asciiTheme="minorHAnsi" w:eastAsiaTheme="minorEastAsia" w:hAnsiTheme="minorHAnsi" w:cstheme="minorBidi"/>
                <w:noProof/>
              </w:rPr>
              <w:tab/>
            </w:r>
            <w:r w:rsidRPr="00C67892">
              <w:rPr>
                <w:rStyle w:val="Hyperlink"/>
                <w:noProof/>
              </w:rPr>
              <w:t>Refine Requirements:</w:t>
            </w:r>
            <w:r>
              <w:rPr>
                <w:noProof/>
                <w:webHidden/>
              </w:rPr>
              <w:tab/>
            </w:r>
            <w:r>
              <w:rPr>
                <w:noProof/>
                <w:webHidden/>
              </w:rPr>
              <w:fldChar w:fldCharType="begin"/>
            </w:r>
            <w:r>
              <w:rPr>
                <w:noProof/>
                <w:webHidden/>
              </w:rPr>
              <w:instrText xml:space="preserve"> PAGEREF _Toc21714989 \h </w:instrText>
            </w:r>
            <w:r>
              <w:rPr>
                <w:noProof/>
                <w:webHidden/>
              </w:rPr>
            </w:r>
            <w:r>
              <w:rPr>
                <w:noProof/>
                <w:webHidden/>
              </w:rPr>
              <w:fldChar w:fldCharType="separate"/>
            </w:r>
            <w:r>
              <w:rPr>
                <w:noProof/>
                <w:webHidden/>
              </w:rPr>
              <w:t>7</w:t>
            </w:r>
            <w:r>
              <w:rPr>
                <w:noProof/>
                <w:webHidden/>
              </w:rPr>
              <w:fldChar w:fldCharType="end"/>
            </w:r>
          </w:hyperlink>
        </w:p>
        <w:p w14:paraId="4357F95F" w14:textId="719E0B9C" w:rsidR="008D1794" w:rsidRDefault="008D1794">
          <w:pPr>
            <w:pStyle w:val="TOC2"/>
            <w:tabs>
              <w:tab w:val="left" w:pos="880"/>
              <w:tab w:val="right" w:pos="9010"/>
            </w:tabs>
            <w:rPr>
              <w:rFonts w:asciiTheme="minorHAnsi" w:eastAsiaTheme="minorEastAsia" w:hAnsiTheme="minorHAnsi" w:cstheme="minorBidi"/>
              <w:noProof/>
            </w:rPr>
          </w:pPr>
          <w:hyperlink w:anchor="_Toc21714990" w:history="1">
            <w:r w:rsidRPr="00C67892">
              <w:rPr>
                <w:rStyle w:val="Hyperlink"/>
                <w:noProof/>
              </w:rPr>
              <w:t>3.2</w:t>
            </w:r>
            <w:r>
              <w:rPr>
                <w:rFonts w:asciiTheme="minorHAnsi" w:eastAsiaTheme="minorEastAsia" w:hAnsiTheme="minorHAnsi" w:cstheme="minorBidi"/>
                <w:noProof/>
              </w:rPr>
              <w:tab/>
            </w:r>
            <w:r w:rsidRPr="00C67892">
              <w:rPr>
                <w:rStyle w:val="Hyperlink"/>
                <w:noProof/>
              </w:rPr>
              <w:t>Develop a Prototype System to Support the 2023 Stocktake</w:t>
            </w:r>
            <w:r>
              <w:rPr>
                <w:noProof/>
                <w:webHidden/>
              </w:rPr>
              <w:tab/>
            </w:r>
            <w:r>
              <w:rPr>
                <w:noProof/>
                <w:webHidden/>
              </w:rPr>
              <w:fldChar w:fldCharType="begin"/>
            </w:r>
            <w:r>
              <w:rPr>
                <w:noProof/>
                <w:webHidden/>
              </w:rPr>
              <w:instrText xml:space="preserve"> PAGEREF _Toc21714990 \h </w:instrText>
            </w:r>
            <w:r>
              <w:rPr>
                <w:noProof/>
                <w:webHidden/>
              </w:rPr>
            </w:r>
            <w:r>
              <w:rPr>
                <w:noProof/>
                <w:webHidden/>
              </w:rPr>
              <w:fldChar w:fldCharType="separate"/>
            </w:r>
            <w:r>
              <w:rPr>
                <w:noProof/>
                <w:webHidden/>
              </w:rPr>
              <w:t>8</w:t>
            </w:r>
            <w:r>
              <w:rPr>
                <w:noProof/>
                <w:webHidden/>
              </w:rPr>
              <w:fldChar w:fldCharType="end"/>
            </w:r>
          </w:hyperlink>
        </w:p>
        <w:p w14:paraId="21068941" w14:textId="335FA2A5" w:rsidR="008D1794" w:rsidRDefault="008D1794">
          <w:pPr>
            <w:pStyle w:val="TOC2"/>
            <w:tabs>
              <w:tab w:val="left" w:pos="880"/>
              <w:tab w:val="right" w:pos="9010"/>
            </w:tabs>
            <w:rPr>
              <w:rFonts w:asciiTheme="minorHAnsi" w:eastAsiaTheme="minorEastAsia" w:hAnsiTheme="minorHAnsi" w:cstheme="minorBidi"/>
              <w:noProof/>
            </w:rPr>
          </w:pPr>
          <w:hyperlink w:anchor="_Toc21714991" w:history="1">
            <w:r w:rsidRPr="00C67892">
              <w:rPr>
                <w:rStyle w:val="Hyperlink"/>
                <w:noProof/>
              </w:rPr>
              <w:t>3.3</w:t>
            </w:r>
            <w:r>
              <w:rPr>
                <w:rFonts w:asciiTheme="minorHAnsi" w:eastAsiaTheme="minorEastAsia" w:hAnsiTheme="minorHAnsi" w:cstheme="minorBidi"/>
                <w:noProof/>
              </w:rPr>
              <w:tab/>
            </w:r>
            <w:r w:rsidRPr="00C67892">
              <w:rPr>
                <w:rStyle w:val="Hyperlink"/>
                <w:noProof/>
              </w:rPr>
              <w:t>Implement an Operational CO</w:t>
            </w:r>
            <w:r w:rsidRPr="00C67892">
              <w:rPr>
                <w:rStyle w:val="Hyperlink"/>
                <w:noProof/>
                <w:vertAlign w:val="subscript"/>
              </w:rPr>
              <w:t>2</w:t>
            </w:r>
            <w:r w:rsidRPr="00C67892">
              <w:rPr>
                <w:rStyle w:val="Hyperlink"/>
                <w:noProof/>
              </w:rPr>
              <w:t>/</w:t>
            </w:r>
            <w:r w:rsidRPr="00C67892">
              <w:rPr>
                <w:rStyle w:val="Hyperlink"/>
                <w:rFonts w:cs="Times New Roman"/>
                <w:noProof/>
              </w:rPr>
              <w:t>CH</w:t>
            </w:r>
            <w:r w:rsidRPr="00C67892">
              <w:rPr>
                <w:rStyle w:val="Hyperlink"/>
                <w:rFonts w:cs="Times New Roman"/>
                <w:noProof/>
                <w:vertAlign w:val="subscript"/>
              </w:rPr>
              <w:t>4</w:t>
            </w:r>
            <w:r w:rsidRPr="00C67892">
              <w:rPr>
                <w:rStyle w:val="Hyperlink"/>
                <w:noProof/>
              </w:rPr>
              <w:t xml:space="preserve"> Constellation to Support Future Stocktakes</w:t>
            </w:r>
            <w:r>
              <w:rPr>
                <w:noProof/>
                <w:webHidden/>
              </w:rPr>
              <w:tab/>
            </w:r>
            <w:r>
              <w:rPr>
                <w:noProof/>
                <w:webHidden/>
              </w:rPr>
              <w:fldChar w:fldCharType="begin"/>
            </w:r>
            <w:r>
              <w:rPr>
                <w:noProof/>
                <w:webHidden/>
              </w:rPr>
              <w:instrText xml:space="preserve"> PAGEREF _Toc21714991 \h </w:instrText>
            </w:r>
            <w:r>
              <w:rPr>
                <w:noProof/>
                <w:webHidden/>
              </w:rPr>
            </w:r>
            <w:r>
              <w:rPr>
                <w:noProof/>
                <w:webHidden/>
              </w:rPr>
              <w:fldChar w:fldCharType="separate"/>
            </w:r>
            <w:r>
              <w:rPr>
                <w:noProof/>
                <w:webHidden/>
              </w:rPr>
              <w:t>8</w:t>
            </w:r>
            <w:r>
              <w:rPr>
                <w:noProof/>
                <w:webHidden/>
              </w:rPr>
              <w:fldChar w:fldCharType="end"/>
            </w:r>
          </w:hyperlink>
        </w:p>
        <w:p w14:paraId="12CC50FE" w14:textId="4FEEBCEC" w:rsidR="008D1794" w:rsidRDefault="008D1794">
          <w:pPr>
            <w:pStyle w:val="TOC2"/>
            <w:tabs>
              <w:tab w:val="left" w:pos="880"/>
              <w:tab w:val="right" w:pos="9010"/>
            </w:tabs>
            <w:rPr>
              <w:rFonts w:asciiTheme="minorHAnsi" w:eastAsiaTheme="minorEastAsia" w:hAnsiTheme="minorHAnsi" w:cstheme="minorBidi"/>
              <w:noProof/>
            </w:rPr>
          </w:pPr>
          <w:hyperlink w:anchor="_Toc21714992" w:history="1">
            <w:r w:rsidRPr="00C67892">
              <w:rPr>
                <w:rStyle w:val="Hyperlink"/>
                <w:noProof/>
              </w:rPr>
              <w:t>3.4</w:t>
            </w:r>
            <w:r>
              <w:rPr>
                <w:rFonts w:asciiTheme="minorHAnsi" w:eastAsiaTheme="minorEastAsia" w:hAnsiTheme="minorHAnsi" w:cstheme="minorBidi"/>
                <w:noProof/>
              </w:rPr>
              <w:tab/>
            </w:r>
            <w:r w:rsidRPr="00C67892">
              <w:rPr>
                <w:rStyle w:val="Hyperlink"/>
                <w:noProof/>
              </w:rPr>
              <w:t>Implementation Approach</w:t>
            </w:r>
            <w:r>
              <w:rPr>
                <w:noProof/>
                <w:webHidden/>
              </w:rPr>
              <w:tab/>
            </w:r>
            <w:r>
              <w:rPr>
                <w:noProof/>
                <w:webHidden/>
              </w:rPr>
              <w:fldChar w:fldCharType="begin"/>
            </w:r>
            <w:r>
              <w:rPr>
                <w:noProof/>
                <w:webHidden/>
              </w:rPr>
              <w:instrText xml:space="preserve"> PAGEREF _Toc21714992 \h </w:instrText>
            </w:r>
            <w:r>
              <w:rPr>
                <w:noProof/>
                <w:webHidden/>
              </w:rPr>
            </w:r>
            <w:r>
              <w:rPr>
                <w:noProof/>
                <w:webHidden/>
              </w:rPr>
              <w:fldChar w:fldCharType="separate"/>
            </w:r>
            <w:r>
              <w:rPr>
                <w:noProof/>
                <w:webHidden/>
              </w:rPr>
              <w:t>9</w:t>
            </w:r>
            <w:r>
              <w:rPr>
                <w:noProof/>
                <w:webHidden/>
              </w:rPr>
              <w:fldChar w:fldCharType="end"/>
            </w:r>
          </w:hyperlink>
        </w:p>
        <w:p w14:paraId="434BD399" w14:textId="196E3D6C" w:rsidR="008D1794" w:rsidRDefault="008D1794">
          <w:pPr>
            <w:pStyle w:val="TOC1"/>
            <w:tabs>
              <w:tab w:val="left" w:pos="440"/>
              <w:tab w:val="right" w:pos="9010"/>
            </w:tabs>
            <w:rPr>
              <w:rFonts w:asciiTheme="minorHAnsi" w:eastAsiaTheme="minorEastAsia" w:hAnsiTheme="minorHAnsi" w:cstheme="minorBidi"/>
              <w:noProof/>
            </w:rPr>
          </w:pPr>
          <w:hyperlink w:anchor="_Toc21714993" w:history="1">
            <w:r w:rsidRPr="00C67892">
              <w:rPr>
                <w:rStyle w:val="Hyperlink"/>
                <w:noProof/>
              </w:rPr>
              <w:t>4</w:t>
            </w:r>
            <w:r>
              <w:rPr>
                <w:rFonts w:asciiTheme="minorHAnsi" w:eastAsiaTheme="minorEastAsia" w:hAnsiTheme="minorHAnsi" w:cstheme="minorBidi"/>
                <w:noProof/>
              </w:rPr>
              <w:tab/>
            </w:r>
            <w:r w:rsidRPr="00C67892">
              <w:rPr>
                <w:rStyle w:val="Hyperlink"/>
                <w:noProof/>
              </w:rPr>
              <w:t>CEOS and CGMS Implementation Entities and Roles</w:t>
            </w:r>
            <w:r>
              <w:rPr>
                <w:noProof/>
                <w:webHidden/>
              </w:rPr>
              <w:tab/>
            </w:r>
            <w:r>
              <w:rPr>
                <w:noProof/>
                <w:webHidden/>
              </w:rPr>
              <w:fldChar w:fldCharType="begin"/>
            </w:r>
            <w:r>
              <w:rPr>
                <w:noProof/>
                <w:webHidden/>
              </w:rPr>
              <w:instrText xml:space="preserve"> PAGEREF _Toc21714993 \h </w:instrText>
            </w:r>
            <w:r>
              <w:rPr>
                <w:noProof/>
                <w:webHidden/>
              </w:rPr>
            </w:r>
            <w:r>
              <w:rPr>
                <w:noProof/>
                <w:webHidden/>
              </w:rPr>
              <w:fldChar w:fldCharType="separate"/>
            </w:r>
            <w:r>
              <w:rPr>
                <w:noProof/>
                <w:webHidden/>
              </w:rPr>
              <w:t>10</w:t>
            </w:r>
            <w:r>
              <w:rPr>
                <w:noProof/>
                <w:webHidden/>
              </w:rPr>
              <w:fldChar w:fldCharType="end"/>
            </w:r>
          </w:hyperlink>
        </w:p>
        <w:p w14:paraId="4F017EAE" w14:textId="167CA71D" w:rsidR="008D1794" w:rsidRDefault="008D1794">
          <w:pPr>
            <w:pStyle w:val="TOC2"/>
            <w:tabs>
              <w:tab w:val="left" w:pos="880"/>
              <w:tab w:val="right" w:pos="9010"/>
            </w:tabs>
            <w:rPr>
              <w:rFonts w:asciiTheme="minorHAnsi" w:eastAsiaTheme="minorEastAsia" w:hAnsiTheme="minorHAnsi" w:cstheme="minorBidi"/>
              <w:noProof/>
            </w:rPr>
          </w:pPr>
          <w:hyperlink w:anchor="_Toc21714994" w:history="1">
            <w:r w:rsidRPr="00C67892">
              <w:rPr>
                <w:rStyle w:val="Hyperlink"/>
                <w:noProof/>
              </w:rPr>
              <w:t>4.1</w:t>
            </w:r>
            <w:r>
              <w:rPr>
                <w:rFonts w:asciiTheme="minorHAnsi" w:eastAsiaTheme="minorEastAsia" w:hAnsiTheme="minorHAnsi" w:cstheme="minorBidi"/>
                <w:noProof/>
              </w:rPr>
              <w:tab/>
            </w:r>
            <w:r w:rsidRPr="00C67892">
              <w:rPr>
                <w:rStyle w:val="Hyperlink"/>
                <w:noProof/>
              </w:rPr>
              <w:t>Role of WGClimate and the GHG Task Team</w:t>
            </w:r>
            <w:r>
              <w:rPr>
                <w:noProof/>
                <w:webHidden/>
              </w:rPr>
              <w:tab/>
            </w:r>
            <w:r>
              <w:rPr>
                <w:noProof/>
                <w:webHidden/>
              </w:rPr>
              <w:fldChar w:fldCharType="begin"/>
            </w:r>
            <w:r>
              <w:rPr>
                <w:noProof/>
                <w:webHidden/>
              </w:rPr>
              <w:instrText xml:space="preserve"> PAGEREF _Toc21714994 \h </w:instrText>
            </w:r>
            <w:r>
              <w:rPr>
                <w:noProof/>
                <w:webHidden/>
              </w:rPr>
            </w:r>
            <w:r>
              <w:rPr>
                <w:noProof/>
                <w:webHidden/>
              </w:rPr>
              <w:fldChar w:fldCharType="separate"/>
            </w:r>
            <w:r>
              <w:rPr>
                <w:noProof/>
                <w:webHidden/>
              </w:rPr>
              <w:t>11</w:t>
            </w:r>
            <w:r>
              <w:rPr>
                <w:noProof/>
                <w:webHidden/>
              </w:rPr>
              <w:fldChar w:fldCharType="end"/>
            </w:r>
          </w:hyperlink>
        </w:p>
        <w:p w14:paraId="0765BAD9" w14:textId="3A7E1DC2" w:rsidR="008D1794" w:rsidRDefault="008D1794">
          <w:pPr>
            <w:pStyle w:val="TOC2"/>
            <w:tabs>
              <w:tab w:val="left" w:pos="880"/>
              <w:tab w:val="right" w:pos="9010"/>
            </w:tabs>
            <w:rPr>
              <w:rFonts w:asciiTheme="minorHAnsi" w:eastAsiaTheme="minorEastAsia" w:hAnsiTheme="minorHAnsi" w:cstheme="minorBidi"/>
              <w:noProof/>
            </w:rPr>
          </w:pPr>
          <w:hyperlink w:anchor="_Toc21714995" w:history="1">
            <w:r w:rsidRPr="00C67892">
              <w:rPr>
                <w:rStyle w:val="Hyperlink"/>
                <w:noProof/>
              </w:rPr>
              <w:t>4.2</w:t>
            </w:r>
            <w:r>
              <w:rPr>
                <w:rFonts w:asciiTheme="minorHAnsi" w:eastAsiaTheme="minorEastAsia" w:hAnsiTheme="minorHAnsi" w:cstheme="minorBidi"/>
                <w:noProof/>
              </w:rPr>
              <w:tab/>
            </w:r>
            <w:r w:rsidRPr="00C67892">
              <w:rPr>
                <w:rStyle w:val="Hyperlink"/>
                <w:noProof/>
              </w:rPr>
              <w:t>Role of Atmospheric Composition – Virtual Constellation</w:t>
            </w:r>
            <w:r>
              <w:rPr>
                <w:noProof/>
                <w:webHidden/>
              </w:rPr>
              <w:tab/>
            </w:r>
            <w:r>
              <w:rPr>
                <w:noProof/>
                <w:webHidden/>
              </w:rPr>
              <w:fldChar w:fldCharType="begin"/>
            </w:r>
            <w:r>
              <w:rPr>
                <w:noProof/>
                <w:webHidden/>
              </w:rPr>
              <w:instrText xml:space="preserve"> PAGEREF _Toc21714995 \h </w:instrText>
            </w:r>
            <w:r>
              <w:rPr>
                <w:noProof/>
                <w:webHidden/>
              </w:rPr>
            </w:r>
            <w:r>
              <w:rPr>
                <w:noProof/>
                <w:webHidden/>
              </w:rPr>
              <w:fldChar w:fldCharType="separate"/>
            </w:r>
            <w:r>
              <w:rPr>
                <w:noProof/>
                <w:webHidden/>
              </w:rPr>
              <w:t>12</w:t>
            </w:r>
            <w:r>
              <w:rPr>
                <w:noProof/>
                <w:webHidden/>
              </w:rPr>
              <w:fldChar w:fldCharType="end"/>
            </w:r>
          </w:hyperlink>
        </w:p>
        <w:p w14:paraId="64BDBDF1" w14:textId="731D5299" w:rsidR="008D1794" w:rsidRDefault="008D1794">
          <w:pPr>
            <w:pStyle w:val="TOC2"/>
            <w:tabs>
              <w:tab w:val="left" w:pos="880"/>
              <w:tab w:val="right" w:pos="9010"/>
            </w:tabs>
            <w:rPr>
              <w:rFonts w:asciiTheme="minorHAnsi" w:eastAsiaTheme="minorEastAsia" w:hAnsiTheme="minorHAnsi" w:cstheme="minorBidi"/>
              <w:noProof/>
            </w:rPr>
          </w:pPr>
          <w:hyperlink w:anchor="_Toc21714996" w:history="1">
            <w:r w:rsidRPr="00C67892">
              <w:rPr>
                <w:rStyle w:val="Hyperlink"/>
                <w:noProof/>
              </w:rPr>
              <w:t>4.3</w:t>
            </w:r>
            <w:r>
              <w:rPr>
                <w:rFonts w:asciiTheme="minorHAnsi" w:eastAsiaTheme="minorEastAsia" w:hAnsiTheme="minorHAnsi" w:cstheme="minorBidi"/>
                <w:noProof/>
              </w:rPr>
              <w:tab/>
            </w:r>
            <w:r w:rsidRPr="00C67892">
              <w:rPr>
                <w:rStyle w:val="Hyperlink"/>
                <w:noProof/>
              </w:rPr>
              <w:t>Role of WGCV/ACSG and GSICS</w:t>
            </w:r>
            <w:r>
              <w:rPr>
                <w:noProof/>
                <w:webHidden/>
              </w:rPr>
              <w:tab/>
            </w:r>
            <w:r>
              <w:rPr>
                <w:noProof/>
                <w:webHidden/>
              </w:rPr>
              <w:fldChar w:fldCharType="begin"/>
            </w:r>
            <w:r>
              <w:rPr>
                <w:noProof/>
                <w:webHidden/>
              </w:rPr>
              <w:instrText xml:space="preserve"> PAGEREF _Toc21714996 \h </w:instrText>
            </w:r>
            <w:r>
              <w:rPr>
                <w:noProof/>
                <w:webHidden/>
              </w:rPr>
            </w:r>
            <w:r>
              <w:rPr>
                <w:noProof/>
                <w:webHidden/>
              </w:rPr>
              <w:fldChar w:fldCharType="separate"/>
            </w:r>
            <w:r>
              <w:rPr>
                <w:noProof/>
                <w:webHidden/>
              </w:rPr>
              <w:t>13</w:t>
            </w:r>
            <w:r>
              <w:rPr>
                <w:noProof/>
                <w:webHidden/>
              </w:rPr>
              <w:fldChar w:fldCharType="end"/>
            </w:r>
          </w:hyperlink>
        </w:p>
        <w:p w14:paraId="5E2CBFB5" w14:textId="02FBC097" w:rsidR="008D1794" w:rsidRDefault="008D1794">
          <w:pPr>
            <w:pStyle w:val="TOC2"/>
            <w:tabs>
              <w:tab w:val="left" w:pos="880"/>
              <w:tab w:val="right" w:pos="9010"/>
            </w:tabs>
            <w:rPr>
              <w:rFonts w:asciiTheme="minorHAnsi" w:eastAsiaTheme="minorEastAsia" w:hAnsiTheme="minorHAnsi" w:cstheme="minorBidi"/>
              <w:noProof/>
            </w:rPr>
          </w:pPr>
          <w:hyperlink w:anchor="_Toc21714997" w:history="1">
            <w:r w:rsidRPr="00C67892">
              <w:rPr>
                <w:rStyle w:val="Hyperlink"/>
                <w:noProof/>
              </w:rPr>
              <w:t>4.4</w:t>
            </w:r>
            <w:r>
              <w:rPr>
                <w:rFonts w:asciiTheme="minorHAnsi" w:eastAsiaTheme="minorEastAsia" w:hAnsiTheme="minorHAnsi" w:cstheme="minorBidi"/>
                <w:noProof/>
              </w:rPr>
              <w:tab/>
            </w:r>
            <w:r w:rsidRPr="00C67892">
              <w:rPr>
                <w:rStyle w:val="Hyperlink"/>
                <w:noProof/>
              </w:rPr>
              <w:t>Role of other CEOS and CGMS Entities</w:t>
            </w:r>
            <w:r>
              <w:rPr>
                <w:noProof/>
                <w:webHidden/>
              </w:rPr>
              <w:tab/>
            </w:r>
            <w:r>
              <w:rPr>
                <w:noProof/>
                <w:webHidden/>
              </w:rPr>
              <w:fldChar w:fldCharType="begin"/>
            </w:r>
            <w:r>
              <w:rPr>
                <w:noProof/>
                <w:webHidden/>
              </w:rPr>
              <w:instrText xml:space="preserve"> PAGEREF _Toc21714997 \h </w:instrText>
            </w:r>
            <w:r>
              <w:rPr>
                <w:noProof/>
                <w:webHidden/>
              </w:rPr>
            </w:r>
            <w:r>
              <w:rPr>
                <w:noProof/>
                <w:webHidden/>
              </w:rPr>
              <w:fldChar w:fldCharType="separate"/>
            </w:r>
            <w:r>
              <w:rPr>
                <w:noProof/>
                <w:webHidden/>
              </w:rPr>
              <w:t>14</w:t>
            </w:r>
            <w:r>
              <w:rPr>
                <w:noProof/>
                <w:webHidden/>
              </w:rPr>
              <w:fldChar w:fldCharType="end"/>
            </w:r>
          </w:hyperlink>
        </w:p>
        <w:p w14:paraId="75C377F0" w14:textId="51754C9E" w:rsidR="008D1794" w:rsidRDefault="008D1794">
          <w:pPr>
            <w:pStyle w:val="TOC1"/>
            <w:tabs>
              <w:tab w:val="left" w:pos="440"/>
              <w:tab w:val="right" w:pos="9010"/>
            </w:tabs>
            <w:rPr>
              <w:rFonts w:asciiTheme="minorHAnsi" w:eastAsiaTheme="minorEastAsia" w:hAnsiTheme="minorHAnsi" w:cstheme="minorBidi"/>
              <w:noProof/>
            </w:rPr>
          </w:pPr>
          <w:hyperlink w:anchor="_Toc21714998" w:history="1">
            <w:r w:rsidRPr="00C67892">
              <w:rPr>
                <w:rStyle w:val="Hyperlink"/>
                <w:noProof/>
              </w:rPr>
              <w:t>5</w:t>
            </w:r>
            <w:r>
              <w:rPr>
                <w:rFonts w:asciiTheme="minorHAnsi" w:eastAsiaTheme="minorEastAsia" w:hAnsiTheme="minorHAnsi" w:cstheme="minorBidi"/>
                <w:noProof/>
              </w:rPr>
              <w:tab/>
            </w:r>
            <w:r w:rsidRPr="00C67892">
              <w:rPr>
                <w:rStyle w:val="Hyperlink"/>
                <w:noProof/>
              </w:rPr>
              <w:t>Roadmap actions to 2021 and 2025</w:t>
            </w:r>
            <w:r>
              <w:rPr>
                <w:noProof/>
                <w:webHidden/>
              </w:rPr>
              <w:tab/>
            </w:r>
            <w:r>
              <w:rPr>
                <w:noProof/>
                <w:webHidden/>
              </w:rPr>
              <w:fldChar w:fldCharType="begin"/>
            </w:r>
            <w:r>
              <w:rPr>
                <w:noProof/>
                <w:webHidden/>
              </w:rPr>
              <w:instrText xml:space="preserve"> PAGEREF _Toc21714998 \h </w:instrText>
            </w:r>
            <w:r>
              <w:rPr>
                <w:noProof/>
                <w:webHidden/>
              </w:rPr>
            </w:r>
            <w:r>
              <w:rPr>
                <w:noProof/>
                <w:webHidden/>
              </w:rPr>
              <w:fldChar w:fldCharType="separate"/>
            </w:r>
            <w:r>
              <w:rPr>
                <w:noProof/>
                <w:webHidden/>
              </w:rPr>
              <w:t>14</w:t>
            </w:r>
            <w:r>
              <w:rPr>
                <w:noProof/>
                <w:webHidden/>
              </w:rPr>
              <w:fldChar w:fldCharType="end"/>
            </w:r>
          </w:hyperlink>
        </w:p>
        <w:p w14:paraId="66DD35AF" w14:textId="6F8869E6" w:rsidR="008D1794" w:rsidRDefault="008D1794">
          <w:pPr>
            <w:pStyle w:val="TOC2"/>
            <w:tabs>
              <w:tab w:val="left" w:pos="880"/>
              <w:tab w:val="right" w:pos="9010"/>
            </w:tabs>
            <w:rPr>
              <w:rFonts w:asciiTheme="minorHAnsi" w:eastAsiaTheme="minorEastAsia" w:hAnsiTheme="minorHAnsi" w:cstheme="minorBidi"/>
              <w:noProof/>
            </w:rPr>
          </w:pPr>
          <w:hyperlink w:anchor="_Toc21714999" w:history="1">
            <w:r w:rsidRPr="00C67892">
              <w:rPr>
                <w:rStyle w:val="Hyperlink"/>
                <w:noProof/>
              </w:rPr>
              <w:t>5.1</w:t>
            </w:r>
            <w:r>
              <w:rPr>
                <w:rFonts w:asciiTheme="minorHAnsi" w:eastAsiaTheme="minorEastAsia" w:hAnsiTheme="minorHAnsi" w:cstheme="minorBidi"/>
                <w:noProof/>
              </w:rPr>
              <w:tab/>
            </w:r>
            <w:r w:rsidRPr="00C67892">
              <w:rPr>
                <w:rStyle w:val="Hyperlink"/>
                <w:noProof/>
              </w:rPr>
              <w:t>Actions for WGClimate GHG Task Team</w:t>
            </w:r>
            <w:r>
              <w:rPr>
                <w:noProof/>
                <w:webHidden/>
              </w:rPr>
              <w:tab/>
            </w:r>
            <w:r>
              <w:rPr>
                <w:noProof/>
                <w:webHidden/>
              </w:rPr>
              <w:fldChar w:fldCharType="begin"/>
            </w:r>
            <w:r>
              <w:rPr>
                <w:noProof/>
                <w:webHidden/>
              </w:rPr>
              <w:instrText xml:space="preserve"> PAGEREF _Toc21714999 \h </w:instrText>
            </w:r>
            <w:r>
              <w:rPr>
                <w:noProof/>
                <w:webHidden/>
              </w:rPr>
            </w:r>
            <w:r>
              <w:rPr>
                <w:noProof/>
                <w:webHidden/>
              </w:rPr>
              <w:fldChar w:fldCharType="separate"/>
            </w:r>
            <w:r>
              <w:rPr>
                <w:noProof/>
                <w:webHidden/>
              </w:rPr>
              <w:t>14</w:t>
            </w:r>
            <w:r>
              <w:rPr>
                <w:noProof/>
                <w:webHidden/>
              </w:rPr>
              <w:fldChar w:fldCharType="end"/>
            </w:r>
          </w:hyperlink>
        </w:p>
        <w:p w14:paraId="4F617262" w14:textId="71AC1508" w:rsidR="008D1794" w:rsidRDefault="008D1794">
          <w:pPr>
            <w:pStyle w:val="TOC2"/>
            <w:tabs>
              <w:tab w:val="left" w:pos="880"/>
              <w:tab w:val="right" w:pos="9010"/>
            </w:tabs>
            <w:rPr>
              <w:rFonts w:asciiTheme="minorHAnsi" w:eastAsiaTheme="minorEastAsia" w:hAnsiTheme="minorHAnsi" w:cstheme="minorBidi"/>
              <w:noProof/>
            </w:rPr>
          </w:pPr>
          <w:hyperlink w:anchor="_Toc21715000" w:history="1">
            <w:r w:rsidRPr="00C67892">
              <w:rPr>
                <w:rStyle w:val="Hyperlink"/>
                <w:noProof/>
              </w:rPr>
              <w:t>5.2</w:t>
            </w:r>
            <w:r>
              <w:rPr>
                <w:rFonts w:asciiTheme="minorHAnsi" w:eastAsiaTheme="minorEastAsia" w:hAnsiTheme="minorHAnsi" w:cstheme="minorBidi"/>
                <w:noProof/>
              </w:rPr>
              <w:tab/>
            </w:r>
            <w:r w:rsidRPr="00C67892">
              <w:rPr>
                <w:rStyle w:val="Hyperlink"/>
                <w:noProof/>
              </w:rPr>
              <w:t>Actions for Atmospheric Composition – Virtual Constellation</w:t>
            </w:r>
            <w:r>
              <w:rPr>
                <w:noProof/>
                <w:webHidden/>
              </w:rPr>
              <w:tab/>
            </w:r>
            <w:r>
              <w:rPr>
                <w:noProof/>
                <w:webHidden/>
              </w:rPr>
              <w:fldChar w:fldCharType="begin"/>
            </w:r>
            <w:r>
              <w:rPr>
                <w:noProof/>
                <w:webHidden/>
              </w:rPr>
              <w:instrText xml:space="preserve"> PAGEREF _Toc21715000 \h </w:instrText>
            </w:r>
            <w:r>
              <w:rPr>
                <w:noProof/>
                <w:webHidden/>
              </w:rPr>
            </w:r>
            <w:r>
              <w:rPr>
                <w:noProof/>
                <w:webHidden/>
              </w:rPr>
              <w:fldChar w:fldCharType="separate"/>
            </w:r>
            <w:r>
              <w:rPr>
                <w:noProof/>
                <w:webHidden/>
              </w:rPr>
              <w:t>15</w:t>
            </w:r>
            <w:r>
              <w:rPr>
                <w:noProof/>
                <w:webHidden/>
              </w:rPr>
              <w:fldChar w:fldCharType="end"/>
            </w:r>
          </w:hyperlink>
        </w:p>
        <w:p w14:paraId="686E0472" w14:textId="799EC3EC" w:rsidR="008D1794" w:rsidRDefault="008D1794">
          <w:pPr>
            <w:pStyle w:val="TOC2"/>
            <w:tabs>
              <w:tab w:val="left" w:pos="880"/>
              <w:tab w:val="right" w:pos="9010"/>
            </w:tabs>
            <w:rPr>
              <w:rFonts w:asciiTheme="minorHAnsi" w:eastAsiaTheme="minorEastAsia" w:hAnsiTheme="minorHAnsi" w:cstheme="minorBidi"/>
              <w:noProof/>
            </w:rPr>
          </w:pPr>
          <w:hyperlink w:anchor="_Toc21715001" w:history="1">
            <w:r w:rsidRPr="00C67892">
              <w:rPr>
                <w:rStyle w:val="Hyperlink"/>
                <w:noProof/>
              </w:rPr>
              <w:t>5.3</w:t>
            </w:r>
            <w:r>
              <w:rPr>
                <w:rFonts w:asciiTheme="minorHAnsi" w:eastAsiaTheme="minorEastAsia" w:hAnsiTheme="minorHAnsi" w:cstheme="minorBidi"/>
                <w:noProof/>
              </w:rPr>
              <w:tab/>
            </w:r>
            <w:r w:rsidRPr="00C67892">
              <w:rPr>
                <w:rStyle w:val="Hyperlink"/>
                <w:noProof/>
              </w:rPr>
              <w:t>Actions for WGCV/ACSG and GSICS</w:t>
            </w:r>
            <w:r>
              <w:rPr>
                <w:noProof/>
                <w:webHidden/>
              </w:rPr>
              <w:tab/>
            </w:r>
            <w:r>
              <w:rPr>
                <w:noProof/>
                <w:webHidden/>
              </w:rPr>
              <w:fldChar w:fldCharType="begin"/>
            </w:r>
            <w:r>
              <w:rPr>
                <w:noProof/>
                <w:webHidden/>
              </w:rPr>
              <w:instrText xml:space="preserve"> PAGEREF _Toc21715001 \h </w:instrText>
            </w:r>
            <w:r>
              <w:rPr>
                <w:noProof/>
                <w:webHidden/>
              </w:rPr>
            </w:r>
            <w:r>
              <w:rPr>
                <w:noProof/>
                <w:webHidden/>
              </w:rPr>
              <w:fldChar w:fldCharType="separate"/>
            </w:r>
            <w:r>
              <w:rPr>
                <w:noProof/>
                <w:webHidden/>
              </w:rPr>
              <w:t>15</w:t>
            </w:r>
            <w:r>
              <w:rPr>
                <w:noProof/>
                <w:webHidden/>
              </w:rPr>
              <w:fldChar w:fldCharType="end"/>
            </w:r>
          </w:hyperlink>
        </w:p>
        <w:p w14:paraId="5FAD8A5D" w14:textId="684EDD4F" w:rsidR="008D1794" w:rsidRDefault="008D1794">
          <w:pPr>
            <w:pStyle w:val="TOC1"/>
            <w:tabs>
              <w:tab w:val="left" w:pos="440"/>
              <w:tab w:val="right" w:pos="9010"/>
            </w:tabs>
            <w:rPr>
              <w:rFonts w:asciiTheme="minorHAnsi" w:eastAsiaTheme="minorEastAsia" w:hAnsiTheme="minorHAnsi" w:cstheme="minorBidi"/>
              <w:noProof/>
            </w:rPr>
          </w:pPr>
          <w:hyperlink w:anchor="_Toc21715002" w:history="1">
            <w:r w:rsidRPr="00C67892">
              <w:rPr>
                <w:rStyle w:val="Hyperlink"/>
                <w:noProof/>
              </w:rPr>
              <w:t>6</w:t>
            </w:r>
            <w:r>
              <w:rPr>
                <w:rFonts w:asciiTheme="minorHAnsi" w:eastAsiaTheme="minorEastAsia" w:hAnsiTheme="minorHAnsi" w:cstheme="minorBidi"/>
                <w:noProof/>
              </w:rPr>
              <w:tab/>
            </w:r>
            <w:r w:rsidRPr="00C67892">
              <w:rPr>
                <w:rStyle w:val="Hyperlink"/>
                <w:noProof/>
              </w:rPr>
              <w:t>Expected Outcomes</w:t>
            </w:r>
            <w:r>
              <w:rPr>
                <w:noProof/>
                <w:webHidden/>
              </w:rPr>
              <w:tab/>
            </w:r>
            <w:r>
              <w:rPr>
                <w:noProof/>
                <w:webHidden/>
              </w:rPr>
              <w:fldChar w:fldCharType="begin"/>
            </w:r>
            <w:r>
              <w:rPr>
                <w:noProof/>
                <w:webHidden/>
              </w:rPr>
              <w:instrText xml:space="preserve"> PAGEREF _Toc21715002 \h </w:instrText>
            </w:r>
            <w:r>
              <w:rPr>
                <w:noProof/>
                <w:webHidden/>
              </w:rPr>
            </w:r>
            <w:r>
              <w:rPr>
                <w:noProof/>
                <w:webHidden/>
              </w:rPr>
              <w:fldChar w:fldCharType="separate"/>
            </w:r>
            <w:r>
              <w:rPr>
                <w:noProof/>
                <w:webHidden/>
              </w:rPr>
              <w:t>16</w:t>
            </w:r>
            <w:r>
              <w:rPr>
                <w:noProof/>
                <w:webHidden/>
              </w:rPr>
              <w:fldChar w:fldCharType="end"/>
            </w:r>
          </w:hyperlink>
        </w:p>
        <w:p w14:paraId="1FA202C8" w14:textId="3BB84214" w:rsidR="008D1794" w:rsidRDefault="008D1794">
          <w:pPr>
            <w:pStyle w:val="TOC1"/>
            <w:tabs>
              <w:tab w:val="left" w:pos="440"/>
              <w:tab w:val="right" w:pos="9010"/>
            </w:tabs>
            <w:rPr>
              <w:rFonts w:asciiTheme="minorHAnsi" w:eastAsiaTheme="minorEastAsia" w:hAnsiTheme="minorHAnsi" w:cstheme="minorBidi"/>
              <w:noProof/>
            </w:rPr>
          </w:pPr>
          <w:hyperlink w:anchor="_Toc21715003" w:history="1">
            <w:r w:rsidRPr="00C67892">
              <w:rPr>
                <w:rStyle w:val="Hyperlink"/>
                <w:noProof/>
              </w:rPr>
              <w:t>7</w:t>
            </w:r>
            <w:r>
              <w:rPr>
                <w:rFonts w:asciiTheme="minorHAnsi" w:eastAsiaTheme="minorEastAsia" w:hAnsiTheme="minorHAnsi" w:cstheme="minorBidi"/>
                <w:noProof/>
              </w:rPr>
              <w:tab/>
            </w:r>
            <w:r w:rsidRPr="00C67892">
              <w:rPr>
                <w:rStyle w:val="Hyperlink"/>
                <w:noProof/>
              </w:rPr>
              <w:t>Resource Implications</w:t>
            </w:r>
            <w:r>
              <w:rPr>
                <w:noProof/>
                <w:webHidden/>
              </w:rPr>
              <w:tab/>
            </w:r>
            <w:r>
              <w:rPr>
                <w:noProof/>
                <w:webHidden/>
              </w:rPr>
              <w:fldChar w:fldCharType="begin"/>
            </w:r>
            <w:r>
              <w:rPr>
                <w:noProof/>
                <w:webHidden/>
              </w:rPr>
              <w:instrText xml:space="preserve"> PAGEREF _Toc21715003 \h </w:instrText>
            </w:r>
            <w:r>
              <w:rPr>
                <w:noProof/>
                <w:webHidden/>
              </w:rPr>
            </w:r>
            <w:r>
              <w:rPr>
                <w:noProof/>
                <w:webHidden/>
              </w:rPr>
              <w:fldChar w:fldCharType="separate"/>
            </w:r>
            <w:r>
              <w:rPr>
                <w:noProof/>
                <w:webHidden/>
              </w:rPr>
              <w:t>17</w:t>
            </w:r>
            <w:r>
              <w:rPr>
                <w:noProof/>
                <w:webHidden/>
              </w:rPr>
              <w:fldChar w:fldCharType="end"/>
            </w:r>
          </w:hyperlink>
        </w:p>
        <w:p w14:paraId="255162D6" w14:textId="1053B0BB" w:rsidR="008D1794" w:rsidRDefault="008D1794">
          <w:pPr>
            <w:pStyle w:val="TOC1"/>
            <w:tabs>
              <w:tab w:val="left" w:pos="440"/>
              <w:tab w:val="right" w:pos="9010"/>
            </w:tabs>
            <w:rPr>
              <w:rFonts w:asciiTheme="minorHAnsi" w:eastAsiaTheme="minorEastAsia" w:hAnsiTheme="minorHAnsi" w:cstheme="minorBidi"/>
              <w:noProof/>
            </w:rPr>
          </w:pPr>
          <w:hyperlink w:anchor="_Toc21715004" w:history="1">
            <w:r w:rsidRPr="00C67892">
              <w:rPr>
                <w:rStyle w:val="Hyperlink"/>
                <w:noProof/>
              </w:rPr>
              <w:t>8</w:t>
            </w:r>
            <w:r>
              <w:rPr>
                <w:rFonts w:asciiTheme="minorHAnsi" w:eastAsiaTheme="minorEastAsia" w:hAnsiTheme="minorHAnsi" w:cstheme="minorBidi"/>
                <w:noProof/>
              </w:rPr>
              <w:tab/>
            </w:r>
            <w:r w:rsidRPr="00C67892">
              <w:rPr>
                <w:rStyle w:val="Hyperlink"/>
                <w:noProof/>
              </w:rPr>
              <w:t>High-level Timeline</w:t>
            </w:r>
            <w:r>
              <w:rPr>
                <w:noProof/>
                <w:webHidden/>
              </w:rPr>
              <w:tab/>
            </w:r>
            <w:r>
              <w:rPr>
                <w:noProof/>
                <w:webHidden/>
              </w:rPr>
              <w:fldChar w:fldCharType="begin"/>
            </w:r>
            <w:r>
              <w:rPr>
                <w:noProof/>
                <w:webHidden/>
              </w:rPr>
              <w:instrText xml:space="preserve"> PAGEREF _Toc21715004 \h </w:instrText>
            </w:r>
            <w:r>
              <w:rPr>
                <w:noProof/>
                <w:webHidden/>
              </w:rPr>
            </w:r>
            <w:r>
              <w:rPr>
                <w:noProof/>
                <w:webHidden/>
              </w:rPr>
              <w:fldChar w:fldCharType="separate"/>
            </w:r>
            <w:r>
              <w:rPr>
                <w:noProof/>
                <w:webHidden/>
              </w:rPr>
              <w:t>18</w:t>
            </w:r>
            <w:r>
              <w:rPr>
                <w:noProof/>
                <w:webHidden/>
              </w:rPr>
              <w:fldChar w:fldCharType="end"/>
            </w:r>
          </w:hyperlink>
        </w:p>
        <w:p w14:paraId="48AFAFA8" w14:textId="53CDA6DF" w:rsidR="00330A6B" w:rsidRDefault="00287EB0">
          <w:pPr>
            <w:pBdr>
              <w:top w:val="nil"/>
              <w:left w:val="nil"/>
              <w:bottom w:val="nil"/>
              <w:right w:val="nil"/>
              <w:between w:val="nil"/>
            </w:pBdr>
            <w:tabs>
              <w:tab w:val="left" w:pos="440"/>
              <w:tab w:val="right" w:pos="9430"/>
            </w:tabs>
            <w:spacing w:before="120" w:after="120"/>
            <w:jc w:val="left"/>
            <w:rPr>
              <w:color w:val="000000"/>
              <w:sz w:val="24"/>
              <w:szCs w:val="24"/>
            </w:rPr>
          </w:pPr>
          <w:r>
            <w:fldChar w:fldCharType="end"/>
          </w:r>
        </w:p>
      </w:sdtContent>
    </w:sdt>
    <w:p w14:paraId="16F29C45" w14:textId="77777777" w:rsidR="00330A6B" w:rsidRDefault="00287EB0">
      <w:pPr>
        <w:spacing w:after="160" w:line="259" w:lineRule="auto"/>
        <w:jc w:val="left"/>
        <w:rPr>
          <w:b/>
          <w:color w:val="2E75B5"/>
          <w:sz w:val="28"/>
          <w:szCs w:val="28"/>
        </w:rPr>
      </w:pPr>
      <w:r>
        <w:br w:type="page"/>
      </w:r>
    </w:p>
    <w:p w14:paraId="7461CD8B" w14:textId="77777777" w:rsidR="00AA7219" w:rsidRPr="001D304D" w:rsidRDefault="00287EB0" w:rsidP="0040568B">
      <w:pPr>
        <w:pStyle w:val="Heading1"/>
      </w:pPr>
      <w:bookmarkStart w:id="1" w:name="_Toc21714986"/>
      <w:r w:rsidRPr="00EB4345">
        <w:lastRenderedPageBreak/>
        <w:t>Scope and Objective</w:t>
      </w:r>
      <w:r w:rsidR="001F5D6D" w:rsidRPr="001D304D">
        <w:t>s</w:t>
      </w:r>
      <w:bookmarkEnd w:id="1"/>
    </w:p>
    <w:p w14:paraId="67173C76" w14:textId="4B9EA81F" w:rsidR="00330A6B" w:rsidRDefault="00287EB0">
      <w:pPr>
        <w:rPr>
          <w:color w:val="262626"/>
        </w:rPr>
      </w:pPr>
      <w:r>
        <w:rPr>
          <w:color w:val="262626"/>
        </w:rPr>
        <w:t xml:space="preserve">The 2017 CEOS Chair commissioned the </w:t>
      </w:r>
      <w:r w:rsidR="002810A3">
        <w:rPr>
          <w:color w:val="262626"/>
        </w:rPr>
        <w:t xml:space="preserve">CEOS </w:t>
      </w:r>
      <w:r>
        <w:rPr>
          <w:color w:val="262626"/>
        </w:rPr>
        <w:t xml:space="preserve">Atmospheric Composition Virtual Constellation (AC-VC) to write a </w:t>
      </w:r>
      <w:r w:rsidR="002810A3">
        <w:rPr>
          <w:color w:val="262626"/>
        </w:rPr>
        <w:t>W</w:t>
      </w:r>
      <w:r>
        <w:rPr>
          <w:color w:val="262626"/>
        </w:rPr>
        <w:t>hitepaper that defines the key characteristics of a global architecture for monitoring atmospheric CO</w:t>
      </w:r>
      <w:r w:rsidRPr="00021292">
        <w:rPr>
          <w:color w:val="262626"/>
          <w:vertAlign w:val="subscript"/>
        </w:rPr>
        <w:t>2</w:t>
      </w:r>
      <w:r>
        <w:rPr>
          <w:color w:val="262626"/>
        </w:rPr>
        <w:t xml:space="preserve"> and CH</w:t>
      </w:r>
      <w:r w:rsidRPr="00021292">
        <w:rPr>
          <w:color w:val="262626"/>
          <w:vertAlign w:val="subscript"/>
        </w:rPr>
        <w:t>4</w:t>
      </w:r>
      <w:r>
        <w:rPr>
          <w:color w:val="262626"/>
        </w:rPr>
        <w:t xml:space="preserve"> concentrations and their natural and anthropogenic fluxes from instruments on space-based platforms </w:t>
      </w:r>
      <w:proofErr w:type="gramStart"/>
      <w:r>
        <w:rPr>
          <w:color w:val="262626"/>
        </w:rPr>
        <w:t>to</w:t>
      </w:r>
      <w:proofErr w:type="gramEnd"/>
      <w:r>
        <w:rPr>
          <w:color w:val="262626"/>
        </w:rPr>
        <w:t>:</w:t>
      </w:r>
    </w:p>
    <w:p w14:paraId="01777B86" w14:textId="77777777" w:rsidR="00330A6B" w:rsidRDefault="00287EB0">
      <w:pPr>
        <w:numPr>
          <w:ilvl w:val="0"/>
          <w:numId w:val="12"/>
        </w:numPr>
        <w:pBdr>
          <w:top w:val="nil"/>
          <w:left w:val="nil"/>
          <w:bottom w:val="nil"/>
          <w:right w:val="nil"/>
          <w:between w:val="nil"/>
        </w:pBdr>
        <w:spacing w:before="120" w:after="0"/>
        <w:rPr>
          <w:color w:val="262626"/>
        </w:rPr>
      </w:pPr>
      <w:r>
        <w:rPr>
          <w:color w:val="262626"/>
        </w:rPr>
        <w:t xml:space="preserve">reduce uncertainty of national emission inventory reporting; </w:t>
      </w:r>
    </w:p>
    <w:p w14:paraId="5FCA726F" w14:textId="77777777" w:rsidR="005D4624" w:rsidRDefault="00287EB0">
      <w:pPr>
        <w:numPr>
          <w:ilvl w:val="0"/>
          <w:numId w:val="12"/>
        </w:numPr>
        <w:pBdr>
          <w:top w:val="nil"/>
          <w:left w:val="nil"/>
          <w:bottom w:val="nil"/>
          <w:right w:val="nil"/>
          <w:between w:val="nil"/>
        </w:pBdr>
        <w:spacing w:after="0"/>
        <w:rPr>
          <w:color w:val="262626"/>
        </w:rPr>
      </w:pPr>
      <w:r>
        <w:rPr>
          <w:color w:val="262626"/>
        </w:rPr>
        <w:t>identify additional emission reduction opportunities</w:t>
      </w:r>
      <w:r w:rsidR="005D4624">
        <w:rPr>
          <w:color w:val="262626"/>
        </w:rPr>
        <w:t>;</w:t>
      </w:r>
    </w:p>
    <w:p w14:paraId="7494F359" w14:textId="77777777" w:rsidR="00330A6B" w:rsidRDefault="00287EB0">
      <w:pPr>
        <w:numPr>
          <w:ilvl w:val="0"/>
          <w:numId w:val="12"/>
        </w:numPr>
        <w:pBdr>
          <w:top w:val="nil"/>
          <w:left w:val="nil"/>
          <w:bottom w:val="nil"/>
          <w:right w:val="nil"/>
          <w:between w:val="nil"/>
        </w:pBdr>
        <w:spacing w:after="0"/>
        <w:rPr>
          <w:color w:val="262626"/>
        </w:rPr>
      </w:pPr>
      <w:r>
        <w:rPr>
          <w:color w:val="262626"/>
        </w:rPr>
        <w:t>provide nations with timely and quantified guidance on progress towards their emission reduction strategies and pledges (Nationally Determined Contributions, NDCs); and</w:t>
      </w:r>
    </w:p>
    <w:p w14:paraId="11489FA3" w14:textId="77777777" w:rsidR="00330A6B" w:rsidRDefault="00287EB0">
      <w:pPr>
        <w:numPr>
          <w:ilvl w:val="0"/>
          <w:numId w:val="12"/>
        </w:numPr>
        <w:pBdr>
          <w:top w:val="nil"/>
          <w:left w:val="nil"/>
          <w:bottom w:val="nil"/>
          <w:right w:val="nil"/>
          <w:between w:val="nil"/>
        </w:pBdr>
        <w:spacing w:after="120"/>
        <w:rPr>
          <w:color w:val="262626"/>
        </w:rPr>
      </w:pPr>
      <w:proofErr w:type="gramStart"/>
      <w:r>
        <w:rPr>
          <w:color w:val="262626"/>
        </w:rPr>
        <w:t>track</w:t>
      </w:r>
      <w:proofErr w:type="gramEnd"/>
      <w:r>
        <w:rPr>
          <w:color w:val="262626"/>
        </w:rPr>
        <w:t xml:space="preserve"> changes in the natural carbon cycle caused by human activities (deforestation, degradation of ecosystems, fire) and climate change. </w:t>
      </w:r>
    </w:p>
    <w:p w14:paraId="2A20DEE6" w14:textId="20A485AE" w:rsidR="00330A6B" w:rsidRDefault="00287EB0">
      <w:pPr>
        <w:rPr>
          <w:color w:val="262626"/>
        </w:rPr>
      </w:pPr>
      <w:r>
        <w:rPr>
          <w:color w:val="262626"/>
        </w:rPr>
        <w:t xml:space="preserve">The </w:t>
      </w:r>
      <w:r w:rsidR="00607EB3">
        <w:rPr>
          <w:color w:val="262626"/>
        </w:rPr>
        <w:t xml:space="preserve">CEOS AC-VC greenhouse gas (GHG) </w:t>
      </w:r>
      <w:r>
        <w:rPr>
          <w:color w:val="262626"/>
        </w:rPr>
        <w:t>Whitepa</w:t>
      </w:r>
      <w:r w:rsidR="00607EB3">
        <w:rPr>
          <w:color w:val="262626"/>
        </w:rPr>
        <w:t xml:space="preserve">per was </w:t>
      </w:r>
      <w:proofErr w:type="spellStart"/>
      <w:r>
        <w:rPr>
          <w:color w:val="262626"/>
        </w:rPr>
        <w:t>finalised</w:t>
      </w:r>
      <w:proofErr w:type="spellEnd"/>
      <w:r>
        <w:rPr>
          <w:color w:val="262626"/>
        </w:rPr>
        <w:t xml:space="preserve"> in 2018</w:t>
      </w:r>
      <w:r w:rsidR="00607EB3">
        <w:rPr>
          <w:color w:val="262626"/>
        </w:rPr>
        <w:t xml:space="preserve">. </w:t>
      </w:r>
      <w:r w:rsidR="00FB72F2">
        <w:rPr>
          <w:color w:val="262626"/>
        </w:rPr>
        <w:t>T</w:t>
      </w:r>
      <w:r>
        <w:rPr>
          <w:color w:val="262626"/>
        </w:rPr>
        <w:t xml:space="preserve">hat document explains how estimates of </w:t>
      </w:r>
      <w:r w:rsidR="007F4FB4" w:rsidRPr="007F4FB4">
        <w:rPr>
          <w:rFonts w:eastAsia="Times New Roman" w:cs="Times New Roman"/>
          <w:color w:val="262626"/>
          <w:szCs w:val="24"/>
        </w:rPr>
        <w:t>XCO</w:t>
      </w:r>
      <w:r w:rsidR="007F4FB4" w:rsidRPr="007F4FB4">
        <w:rPr>
          <w:rFonts w:eastAsia="Times New Roman" w:cs="Times New Roman"/>
          <w:color w:val="262626"/>
          <w:szCs w:val="24"/>
          <w:vertAlign w:val="subscript"/>
        </w:rPr>
        <w:t>2</w:t>
      </w:r>
      <w:r>
        <w:rPr>
          <w:color w:val="262626"/>
        </w:rPr>
        <w:t xml:space="preserve"> and </w:t>
      </w:r>
      <w:r w:rsidR="007F4FB4" w:rsidRPr="007F4FB4">
        <w:rPr>
          <w:rFonts w:cs="Times New Roman"/>
          <w:color w:val="262626"/>
        </w:rPr>
        <w:t>X</w:t>
      </w:r>
      <w:r w:rsidR="007F4FB4" w:rsidRPr="007F4FB4">
        <w:rPr>
          <w:rFonts w:cs="Times New Roman"/>
          <w:color w:val="262626"/>
          <w:szCs w:val="20"/>
          <w:lang w:val="en-GB"/>
        </w:rPr>
        <w:t>CH</w:t>
      </w:r>
      <w:r w:rsidR="007F4FB4" w:rsidRPr="007F4FB4">
        <w:rPr>
          <w:rFonts w:cs="Times New Roman"/>
          <w:color w:val="262626"/>
          <w:szCs w:val="20"/>
          <w:vertAlign w:val="subscript"/>
          <w:lang w:val="en-GB"/>
        </w:rPr>
        <w:t>4</w:t>
      </w:r>
      <w:r>
        <w:rPr>
          <w:color w:val="262626"/>
        </w:rPr>
        <w:t xml:space="preserve"> from space-based sensors </w:t>
      </w:r>
      <w:proofErr w:type="gramStart"/>
      <w:r>
        <w:rPr>
          <w:color w:val="262626"/>
        </w:rPr>
        <w:t>can be integrated</w:t>
      </w:r>
      <w:proofErr w:type="gramEnd"/>
      <w:r>
        <w:rPr>
          <w:color w:val="262626"/>
        </w:rPr>
        <w:t xml:space="preserve"> into a global carbon monitoring system and</w:t>
      </w:r>
      <w:r w:rsidR="00607EB3">
        <w:rPr>
          <w:color w:val="262626"/>
        </w:rPr>
        <w:t xml:space="preserve"> </w:t>
      </w:r>
      <w:r>
        <w:rPr>
          <w:color w:val="262626"/>
        </w:rPr>
        <w:t>summarizes the state of the art in the space-based measurements and the</w:t>
      </w:r>
      <w:r w:rsidR="00607EB3">
        <w:rPr>
          <w:color w:val="262626"/>
        </w:rPr>
        <w:t xml:space="preserve"> modeling</w:t>
      </w:r>
      <w:r>
        <w:rPr>
          <w:color w:val="262626"/>
        </w:rPr>
        <w:t xml:space="preserve"> tools needed to retrieve </w:t>
      </w:r>
      <w:r w:rsidR="00607EB3" w:rsidRPr="00607EB3">
        <w:rPr>
          <w:color w:val="262626"/>
        </w:rPr>
        <w:t>CO</w:t>
      </w:r>
      <w:r w:rsidR="00607EB3" w:rsidRPr="00607EB3">
        <w:rPr>
          <w:color w:val="262626"/>
          <w:vertAlign w:val="subscript"/>
        </w:rPr>
        <w:t>2</w:t>
      </w:r>
      <w:r>
        <w:rPr>
          <w:color w:val="262626"/>
        </w:rPr>
        <w:t xml:space="preserve"> and </w:t>
      </w:r>
      <w:r w:rsidR="00607EB3" w:rsidRPr="00607EB3">
        <w:rPr>
          <w:rFonts w:cs="Times New Roman"/>
          <w:color w:val="262626"/>
        </w:rPr>
        <w:t>CH</w:t>
      </w:r>
      <w:r w:rsidR="00607EB3" w:rsidRPr="00607EB3">
        <w:rPr>
          <w:rFonts w:cs="Times New Roman"/>
          <w:color w:val="262626"/>
          <w:vertAlign w:val="subscript"/>
        </w:rPr>
        <w:t>4</w:t>
      </w:r>
      <w:r>
        <w:rPr>
          <w:color w:val="262626"/>
        </w:rPr>
        <w:t xml:space="preserve"> fluxes from these data. It then describes existing and planned space-based </w:t>
      </w:r>
      <w:r w:rsidR="00607EB3" w:rsidRPr="00607EB3">
        <w:rPr>
          <w:color w:val="262626"/>
        </w:rPr>
        <w:t>CO</w:t>
      </w:r>
      <w:r w:rsidR="00607EB3" w:rsidRPr="00607EB3">
        <w:rPr>
          <w:color w:val="262626"/>
          <w:vertAlign w:val="subscript"/>
        </w:rPr>
        <w:t>2</w:t>
      </w:r>
      <w:r>
        <w:rPr>
          <w:color w:val="262626"/>
        </w:rPr>
        <w:t xml:space="preserve"> and </w:t>
      </w:r>
      <w:r w:rsidR="00607EB3" w:rsidRPr="00607EB3">
        <w:rPr>
          <w:rFonts w:cs="Times New Roman"/>
          <w:color w:val="262626"/>
        </w:rPr>
        <w:t>CH</w:t>
      </w:r>
      <w:r w:rsidR="00607EB3" w:rsidRPr="00607EB3">
        <w:rPr>
          <w:rFonts w:cs="Times New Roman"/>
          <w:color w:val="262626"/>
          <w:vertAlign w:val="subscript"/>
        </w:rPr>
        <w:t>4</w:t>
      </w:r>
      <w:r>
        <w:rPr>
          <w:color w:val="262626"/>
        </w:rPr>
        <w:t xml:space="preserve"> sensor types and performance, observing strategies, launch dates and operational timelines. It reviews the lessons learned from SCIAMACHY, GOSAT, and OCO-2 missions and summarizes the steps needed to transition from a series of scientific experiments to an operational constellation that can support an integrated global carbon observing system. To illustrate this transition, it documents the approach </w:t>
      </w:r>
      <w:r w:rsidR="00607EB3">
        <w:rPr>
          <w:color w:val="262626"/>
        </w:rPr>
        <w:t>adopt</w:t>
      </w:r>
      <w:r>
        <w:rPr>
          <w:color w:val="262626"/>
        </w:rPr>
        <w:t xml:space="preserve">ed by the European Commission Copernicus </w:t>
      </w:r>
      <w:proofErr w:type="spellStart"/>
      <w:r>
        <w:rPr>
          <w:color w:val="262626"/>
        </w:rPr>
        <w:t>Programme</w:t>
      </w:r>
      <w:proofErr w:type="spellEnd"/>
      <w:r>
        <w:rPr>
          <w:color w:val="262626"/>
        </w:rPr>
        <w:t xml:space="preserve"> to define the requirements for a future operational constellation of </w:t>
      </w:r>
      <w:r w:rsidR="00607EB3" w:rsidRPr="00607EB3">
        <w:rPr>
          <w:color w:val="262626"/>
        </w:rPr>
        <w:t>CO</w:t>
      </w:r>
      <w:r w:rsidR="00607EB3" w:rsidRPr="00607EB3">
        <w:rPr>
          <w:color w:val="262626"/>
          <w:vertAlign w:val="subscript"/>
        </w:rPr>
        <w:t>2</w:t>
      </w:r>
      <w:r>
        <w:rPr>
          <w:color w:val="262626"/>
        </w:rPr>
        <w:t xml:space="preserve"> Sentinels. Finally, it proposes an architecture of a </w:t>
      </w:r>
      <w:proofErr w:type="gramStart"/>
      <w:r>
        <w:rPr>
          <w:color w:val="262626"/>
        </w:rPr>
        <w:t>future greenhouse gas constellation</w:t>
      </w:r>
      <w:proofErr w:type="gramEnd"/>
      <w:r>
        <w:rPr>
          <w:color w:val="262626"/>
        </w:rPr>
        <w:t xml:space="preserve"> designed to address the objectives listed above and recommends a three-step plan to implement this architecture:</w:t>
      </w:r>
    </w:p>
    <w:p w14:paraId="4A13D740" w14:textId="26BBE15F" w:rsidR="00330A6B" w:rsidRDefault="00287EB0" w:rsidP="00021292">
      <w:pPr>
        <w:ind w:left="720" w:hanging="180"/>
        <w:rPr>
          <w:color w:val="262626"/>
        </w:rPr>
      </w:pPr>
      <w:r>
        <w:rPr>
          <w:color w:val="262626"/>
        </w:rPr>
        <w:t>1) Link the atmospheric GHG measurement and modeling communities and stakeholders in the national inventory and policy communities through UNFCCC/SBSTA</w:t>
      </w:r>
      <w:r w:rsidR="002810A3">
        <w:rPr>
          <w:rStyle w:val="FootnoteReference"/>
          <w:color w:val="262626"/>
        </w:rPr>
        <w:footnoteReference w:id="1"/>
      </w:r>
      <w:r>
        <w:rPr>
          <w:color w:val="262626"/>
        </w:rPr>
        <w:t>, to refine requirements</w:t>
      </w:r>
      <w:proofErr w:type="gramStart"/>
      <w:r>
        <w:rPr>
          <w:color w:val="262626"/>
        </w:rPr>
        <w:t>;</w:t>
      </w:r>
      <w:proofErr w:type="gramEnd"/>
    </w:p>
    <w:p w14:paraId="763586D7" w14:textId="77777777" w:rsidR="00330A6B" w:rsidRDefault="00287EB0" w:rsidP="00021292">
      <w:pPr>
        <w:ind w:left="720" w:hanging="180"/>
        <w:rPr>
          <w:color w:val="262626"/>
        </w:rPr>
      </w:pPr>
      <w:proofErr w:type="gramStart"/>
      <w:r>
        <w:rPr>
          <w:color w:val="262626"/>
        </w:rPr>
        <w:t xml:space="preserve">2) Exploit the capabilities of the CEOS member agencies, Coordination Group on Meteorological Satellites (CGMS) and the </w:t>
      </w:r>
      <w:r w:rsidR="009C1F42">
        <w:rPr>
          <w:color w:val="262626"/>
        </w:rPr>
        <w:t>World Meteorological Organization (</w:t>
      </w:r>
      <w:r>
        <w:rPr>
          <w:color w:val="262626"/>
        </w:rPr>
        <w:t>WMO</w:t>
      </w:r>
      <w:r w:rsidR="009C1F42">
        <w:rPr>
          <w:color w:val="262626"/>
        </w:rPr>
        <w:t>)</w:t>
      </w:r>
      <w:r>
        <w:rPr>
          <w:color w:val="262626"/>
        </w:rPr>
        <w:t xml:space="preserve"> Integrated Global Greenhouse Gas Information System (IG</w:t>
      </w:r>
      <w:r w:rsidRPr="00021292">
        <w:rPr>
          <w:color w:val="262626"/>
          <w:vertAlign w:val="superscript"/>
        </w:rPr>
        <w:t>3</w:t>
      </w:r>
      <w:r>
        <w:rPr>
          <w:color w:val="262626"/>
        </w:rPr>
        <w:t xml:space="preserve">IS) to integrate surface and airborne measurements of </w:t>
      </w:r>
      <w:r w:rsidR="00A278A4" w:rsidRPr="00A278A4">
        <w:rPr>
          <w:color w:val="262626"/>
        </w:rPr>
        <w:t>CO</w:t>
      </w:r>
      <w:r w:rsidR="00A278A4" w:rsidRPr="00A278A4">
        <w:rPr>
          <w:color w:val="262626"/>
          <w:vertAlign w:val="subscript"/>
        </w:rPr>
        <w:t>2</w:t>
      </w:r>
      <w:r>
        <w:rPr>
          <w:color w:val="262626"/>
        </w:rPr>
        <w:t xml:space="preserve"> and </w:t>
      </w:r>
      <w:r w:rsidR="00A278A4" w:rsidRPr="00A278A4">
        <w:rPr>
          <w:rFonts w:cs="Times New Roman"/>
          <w:color w:val="262626"/>
        </w:rPr>
        <w:t>CH</w:t>
      </w:r>
      <w:r w:rsidR="00A278A4" w:rsidRPr="00A278A4">
        <w:rPr>
          <w:rFonts w:cs="Times New Roman"/>
          <w:color w:val="262626"/>
          <w:vertAlign w:val="subscript"/>
        </w:rPr>
        <w:t>4</w:t>
      </w:r>
      <w:r>
        <w:rPr>
          <w:color w:val="262626"/>
        </w:rPr>
        <w:t xml:space="preserve"> with those from available and planned space-based sensors to develop a prototype, global atmospheric </w:t>
      </w:r>
      <w:r w:rsidR="00A278A4" w:rsidRPr="00A278A4">
        <w:rPr>
          <w:color w:val="262626"/>
        </w:rPr>
        <w:t>CO</w:t>
      </w:r>
      <w:r w:rsidR="00A278A4" w:rsidRPr="00A278A4">
        <w:rPr>
          <w:color w:val="262626"/>
          <w:vertAlign w:val="subscript"/>
        </w:rPr>
        <w:t>2</w:t>
      </w:r>
      <w:r>
        <w:rPr>
          <w:color w:val="262626"/>
        </w:rPr>
        <w:t xml:space="preserve"> and </w:t>
      </w:r>
      <w:r w:rsidR="00A278A4" w:rsidRPr="00A278A4">
        <w:rPr>
          <w:rFonts w:cs="Times New Roman"/>
          <w:color w:val="262626"/>
        </w:rPr>
        <w:t>CH</w:t>
      </w:r>
      <w:r w:rsidR="00A278A4" w:rsidRPr="00A278A4">
        <w:rPr>
          <w:rFonts w:cs="Times New Roman"/>
          <w:color w:val="262626"/>
          <w:vertAlign w:val="subscript"/>
        </w:rPr>
        <w:t>4</w:t>
      </w:r>
      <w:r>
        <w:rPr>
          <w:color w:val="262626"/>
        </w:rPr>
        <w:t xml:space="preserve"> flux product in time to support inventory builders in their development of GHG emission inventories for the 2023 global </w:t>
      </w:r>
      <w:proofErr w:type="spellStart"/>
      <w:r>
        <w:rPr>
          <w:color w:val="262626"/>
        </w:rPr>
        <w:t>stocktake</w:t>
      </w:r>
      <w:proofErr w:type="spellEnd"/>
      <w:r>
        <w:rPr>
          <w:color w:val="262626"/>
        </w:rPr>
        <w:t>; and</w:t>
      </w:r>
      <w:proofErr w:type="gramEnd"/>
    </w:p>
    <w:p w14:paraId="7E82E914" w14:textId="77777777" w:rsidR="00330A6B" w:rsidRDefault="00287EB0" w:rsidP="00021292">
      <w:pPr>
        <w:ind w:left="720" w:hanging="180"/>
        <w:rPr>
          <w:color w:val="262626"/>
        </w:rPr>
      </w:pPr>
      <w:r>
        <w:rPr>
          <w:color w:val="262626"/>
        </w:rPr>
        <w:t xml:space="preserve">3) Use the lessons learned from this prototype product to facilitate the implementation of a complete, operational, space-based constellation architecture with the capabilities needed to quantify atmospheric </w:t>
      </w:r>
      <w:r w:rsidR="00A278A4" w:rsidRPr="00A278A4">
        <w:rPr>
          <w:color w:val="262626"/>
        </w:rPr>
        <w:t>CO</w:t>
      </w:r>
      <w:r w:rsidR="00A278A4" w:rsidRPr="00A278A4">
        <w:rPr>
          <w:color w:val="262626"/>
          <w:vertAlign w:val="subscript"/>
        </w:rPr>
        <w:t>2</w:t>
      </w:r>
      <w:r>
        <w:rPr>
          <w:color w:val="262626"/>
        </w:rPr>
        <w:t xml:space="preserve"> and </w:t>
      </w:r>
      <w:r w:rsidR="00A278A4" w:rsidRPr="00A278A4">
        <w:rPr>
          <w:rFonts w:cs="Times New Roman"/>
          <w:color w:val="262626"/>
        </w:rPr>
        <w:t>CH</w:t>
      </w:r>
      <w:r w:rsidR="00A278A4" w:rsidRPr="00A278A4">
        <w:rPr>
          <w:rFonts w:cs="Times New Roman"/>
          <w:color w:val="262626"/>
          <w:vertAlign w:val="subscript"/>
        </w:rPr>
        <w:t>4</w:t>
      </w:r>
      <w:r>
        <w:rPr>
          <w:color w:val="262626"/>
        </w:rPr>
        <w:t xml:space="preserve"> concentrations that can serve as a complementary system for estimating NDCs in time to support the 2028 global </w:t>
      </w:r>
      <w:proofErr w:type="spellStart"/>
      <w:r>
        <w:rPr>
          <w:color w:val="262626"/>
        </w:rPr>
        <w:t>stocktake</w:t>
      </w:r>
      <w:proofErr w:type="spellEnd"/>
      <w:r>
        <w:rPr>
          <w:color w:val="262626"/>
        </w:rPr>
        <w:t>.</w:t>
      </w:r>
    </w:p>
    <w:p w14:paraId="7F349195" w14:textId="77777777" w:rsidR="007234A9" w:rsidRDefault="00BA26C3">
      <w:pPr>
        <w:rPr>
          <w:color w:val="262626"/>
        </w:rPr>
      </w:pPr>
      <w:r>
        <w:rPr>
          <w:color w:val="262626"/>
        </w:rPr>
        <w:t>T</w:t>
      </w:r>
      <w:r w:rsidR="00FB72F2">
        <w:rPr>
          <w:color w:val="262626"/>
        </w:rPr>
        <w:t>o meet these goals on this ambitious timeline, the</w:t>
      </w:r>
      <w:r w:rsidR="00A278A4">
        <w:rPr>
          <w:color w:val="262626"/>
        </w:rPr>
        <w:t xml:space="preserve"> </w:t>
      </w:r>
      <w:r w:rsidR="00287EB0">
        <w:rPr>
          <w:color w:val="262626"/>
        </w:rPr>
        <w:t>Way Forward section</w:t>
      </w:r>
      <w:r w:rsidR="00A278A4">
        <w:rPr>
          <w:color w:val="262626"/>
        </w:rPr>
        <w:t xml:space="preserve"> of</w:t>
      </w:r>
      <w:r w:rsidR="00287EB0">
        <w:rPr>
          <w:color w:val="262626"/>
        </w:rPr>
        <w:t xml:space="preserve"> the report recommends </w:t>
      </w:r>
      <w:r w:rsidR="00FB72F2">
        <w:rPr>
          <w:color w:val="262626"/>
        </w:rPr>
        <w:t xml:space="preserve">a series of 16 specific actions by CEOS and its partners. </w:t>
      </w:r>
    </w:p>
    <w:p w14:paraId="1EC201EF" w14:textId="767FB93E" w:rsidR="006549EC" w:rsidRDefault="006549EC" w:rsidP="00215EC9">
      <w:pPr>
        <w:rPr>
          <w:lang w:val="en-GB"/>
        </w:rPr>
      </w:pPr>
      <w:r>
        <w:rPr>
          <w:color w:val="262626"/>
        </w:rPr>
        <w:t xml:space="preserve">The Whitepaper </w:t>
      </w:r>
      <w:proofErr w:type="gramStart"/>
      <w:r>
        <w:rPr>
          <w:color w:val="262626"/>
        </w:rPr>
        <w:t>was endorsed</w:t>
      </w:r>
      <w:proofErr w:type="gramEnd"/>
      <w:r>
        <w:rPr>
          <w:color w:val="262626"/>
        </w:rPr>
        <w:t xml:space="preserve"> </w:t>
      </w:r>
      <w:r w:rsidR="00FB72F2">
        <w:rPr>
          <w:color w:val="262626"/>
        </w:rPr>
        <w:t xml:space="preserve">by </w:t>
      </w:r>
      <w:r>
        <w:rPr>
          <w:color w:val="262626"/>
        </w:rPr>
        <w:t xml:space="preserve">the </w:t>
      </w:r>
      <w:r w:rsidR="00FB72F2">
        <w:rPr>
          <w:color w:val="262626"/>
        </w:rPr>
        <w:t>CEOS agencies at the 32</w:t>
      </w:r>
      <w:r w:rsidR="00FB72F2">
        <w:rPr>
          <w:color w:val="262626"/>
          <w:vertAlign w:val="superscript"/>
        </w:rPr>
        <w:t>nd</w:t>
      </w:r>
      <w:r w:rsidR="00FB72F2">
        <w:rPr>
          <w:color w:val="262626"/>
        </w:rPr>
        <w:t xml:space="preserve"> Plena</w:t>
      </w:r>
      <w:r w:rsidR="001F5D6D">
        <w:rPr>
          <w:color w:val="262626"/>
        </w:rPr>
        <w:t>ry in Brussels (October 2018</w:t>
      </w:r>
      <w:r w:rsidR="00FB72F2">
        <w:rPr>
          <w:color w:val="262626"/>
        </w:rPr>
        <w:t>)</w:t>
      </w:r>
      <w:r w:rsidR="007234A9">
        <w:rPr>
          <w:color w:val="262626"/>
        </w:rPr>
        <w:t xml:space="preserve">. However, at that point </w:t>
      </w:r>
      <w:r>
        <w:rPr>
          <w:color w:val="262626"/>
        </w:rPr>
        <w:t xml:space="preserve">the </w:t>
      </w:r>
      <w:r w:rsidRPr="006549EC">
        <w:rPr>
          <w:color w:val="262626"/>
        </w:rPr>
        <w:t>three-step plan to implement the architecture as well as th</w:t>
      </w:r>
      <w:r>
        <w:rPr>
          <w:color w:val="262626"/>
        </w:rPr>
        <w:t>e identified activities in the Way F</w:t>
      </w:r>
      <w:r w:rsidRPr="006549EC">
        <w:rPr>
          <w:color w:val="262626"/>
        </w:rPr>
        <w:t>orward</w:t>
      </w:r>
      <w:r w:rsidR="007234A9">
        <w:rPr>
          <w:color w:val="262626"/>
        </w:rPr>
        <w:t xml:space="preserve"> </w:t>
      </w:r>
      <w:proofErr w:type="gramStart"/>
      <w:r w:rsidR="007234A9">
        <w:rPr>
          <w:color w:val="262626"/>
        </w:rPr>
        <w:t>were</w:t>
      </w:r>
      <w:r w:rsidRPr="006549EC">
        <w:rPr>
          <w:color w:val="262626"/>
        </w:rPr>
        <w:t xml:space="preserve"> interpreted</w:t>
      </w:r>
      <w:proofErr w:type="gramEnd"/>
      <w:r w:rsidRPr="006549EC">
        <w:rPr>
          <w:color w:val="262626"/>
        </w:rPr>
        <w:t xml:space="preserve"> as recommendations to CEOS Agencies, for their consideration</w:t>
      </w:r>
      <w:r w:rsidR="00215EC9">
        <w:rPr>
          <w:lang w:val="en-GB"/>
        </w:rPr>
        <w:t>:</w:t>
      </w:r>
    </w:p>
    <w:tbl>
      <w:tblPr>
        <w:tblW w:w="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7305"/>
      </w:tblGrid>
      <w:tr w:rsidR="006549EC" w14:paraId="1EB995C7" w14:textId="77777777" w:rsidTr="006549EC">
        <w:tc>
          <w:tcPr>
            <w:tcW w:w="1350" w:type="dxa"/>
            <w:tcBorders>
              <w:top w:val="single" w:sz="4" w:space="0" w:color="000000"/>
              <w:left w:val="single" w:sz="4" w:space="0" w:color="000000"/>
              <w:bottom w:val="single" w:sz="4" w:space="0" w:color="000000"/>
              <w:right w:val="single" w:sz="4" w:space="0" w:color="000000"/>
            </w:tcBorders>
            <w:shd w:val="clear" w:color="auto" w:fill="6AA84F"/>
            <w:vAlign w:val="center"/>
            <w:hideMark/>
          </w:tcPr>
          <w:p w14:paraId="13D0EA98" w14:textId="77777777" w:rsidR="006549EC" w:rsidRDefault="006549EC">
            <w:pPr>
              <w:spacing w:before="40" w:after="40"/>
              <w:jc w:val="center"/>
              <w:rPr>
                <w:b/>
                <w:color w:val="FFFFFF"/>
                <w:lang w:val="en-GB"/>
              </w:rPr>
            </w:pPr>
            <w:r>
              <w:rPr>
                <w:b/>
                <w:color w:val="FFFFFF"/>
                <w:lang w:val="en-GB"/>
              </w:rPr>
              <w:lastRenderedPageBreak/>
              <w:t>Decision 04</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50C4889B" w14:textId="77777777" w:rsidR="006549EC" w:rsidRDefault="006549EC">
            <w:pPr>
              <w:spacing w:after="0"/>
              <w:rPr>
                <w:lang w:val="en-GB"/>
              </w:rPr>
            </w:pPr>
            <w:r>
              <w:rPr>
                <w:lang w:val="en-GB"/>
              </w:rPr>
              <w:t xml:space="preserve">CEOS Plenary endorsed the report </w:t>
            </w:r>
            <w:r>
              <w:rPr>
                <w:i/>
                <w:lang w:val="en-GB"/>
              </w:rPr>
              <w:t>'A Constellation Architecture for Monitoring Carbon Dioxide and Methane from Space.’</w:t>
            </w:r>
            <w:r>
              <w:rPr>
                <w:lang w:val="en-GB"/>
              </w:rPr>
              <w:t xml:space="preserve"> It is emphasised that the three-step plan to implement the architecture contained in the paper, as well as the identified activities in the way forward, </w:t>
            </w:r>
            <w:proofErr w:type="gramStart"/>
            <w:r>
              <w:rPr>
                <w:lang w:val="en-GB"/>
              </w:rPr>
              <w:t>should be interpreted</w:t>
            </w:r>
            <w:proofErr w:type="gramEnd"/>
            <w:r>
              <w:rPr>
                <w:lang w:val="en-GB"/>
              </w:rPr>
              <w:t xml:space="preserve"> as recommendations to CEOS Agencies, for their consideration.</w:t>
            </w:r>
          </w:p>
        </w:tc>
      </w:tr>
    </w:tbl>
    <w:p w14:paraId="50B3A33F" w14:textId="77777777" w:rsidR="006549EC" w:rsidRDefault="001F5D6D">
      <w:pPr>
        <w:rPr>
          <w:color w:val="262626"/>
        </w:rPr>
      </w:pPr>
      <w:r>
        <w:rPr>
          <w:color w:val="262626"/>
        </w:rPr>
        <w:t xml:space="preserve">Decision 04 from the 2018 </w:t>
      </w:r>
      <w:r w:rsidR="007234A9">
        <w:rPr>
          <w:color w:val="262626"/>
        </w:rPr>
        <w:t xml:space="preserve">CEOS </w:t>
      </w:r>
      <w:r>
        <w:rPr>
          <w:color w:val="262626"/>
        </w:rPr>
        <w:t>Plenary.</w:t>
      </w:r>
    </w:p>
    <w:p w14:paraId="5C0F7DB0" w14:textId="1CF287D2" w:rsidR="00330A6B" w:rsidRDefault="007234A9">
      <w:pPr>
        <w:rPr>
          <w:color w:val="262626"/>
        </w:rPr>
      </w:pPr>
      <w:r>
        <w:rPr>
          <w:color w:val="262626"/>
        </w:rPr>
        <w:t xml:space="preserve">To make further progress toward the actions proposed in the Whitepaper, the CEOS Plenary directed the </w:t>
      </w:r>
      <w:r w:rsidR="002A25B4">
        <w:rPr>
          <w:color w:val="262626"/>
        </w:rPr>
        <w:t>J</w:t>
      </w:r>
      <w:r>
        <w:rPr>
          <w:color w:val="262626"/>
        </w:rPr>
        <w:t>oint CEOS/CGMS Working Group on Climate (</w:t>
      </w:r>
      <w:proofErr w:type="spellStart"/>
      <w:r>
        <w:rPr>
          <w:color w:val="262626"/>
        </w:rPr>
        <w:t>WGClimate</w:t>
      </w:r>
      <w:proofErr w:type="spellEnd"/>
      <w:r>
        <w:rPr>
          <w:color w:val="262626"/>
        </w:rPr>
        <w:t xml:space="preserve">) to form a dedicated task group on greenhouse gases, and to work with the CEOS Working Group on Calibration and Validation (WGCV) and the AC-VC to develop a comprehensive roadmap for GHG activities. The products of that effort </w:t>
      </w:r>
      <w:proofErr w:type="gramStart"/>
      <w:r>
        <w:rPr>
          <w:color w:val="262626"/>
        </w:rPr>
        <w:t>are documented</w:t>
      </w:r>
      <w:proofErr w:type="gramEnd"/>
      <w:r>
        <w:rPr>
          <w:color w:val="262626"/>
        </w:rPr>
        <w:t xml:space="preserve"> in this report.</w:t>
      </w:r>
    </w:p>
    <w:p w14:paraId="5955ABEB" w14:textId="5BD9DD77" w:rsidR="00215EC9" w:rsidRDefault="00215EC9" w:rsidP="00215EC9">
      <w:pPr>
        <w:rPr>
          <w:color w:val="262626"/>
        </w:rPr>
      </w:pPr>
      <w:r>
        <w:rPr>
          <w:color w:val="262626"/>
        </w:rPr>
        <w:t>In addition, CGMS approved the Whitepaper during the 47</w:t>
      </w:r>
      <w:r w:rsidRPr="00B56013">
        <w:rPr>
          <w:color w:val="262626"/>
          <w:vertAlign w:val="superscript"/>
        </w:rPr>
        <w:t>th</w:t>
      </w:r>
      <w:r>
        <w:rPr>
          <w:color w:val="262626"/>
        </w:rPr>
        <w:t xml:space="preserve"> plenary in Sochi (2019)</w:t>
      </w:r>
      <w:r w:rsidR="003C5E79">
        <w:rPr>
          <w:color w:val="262626"/>
        </w:rPr>
        <w:t>.</w:t>
      </w:r>
      <w:r>
        <w:rPr>
          <w:color w:val="262626"/>
        </w:rPr>
        <w:t xml:space="preserve"> CEOS and CGMS </w:t>
      </w:r>
      <w:r w:rsidR="0007039E">
        <w:rPr>
          <w:color w:val="262626"/>
        </w:rPr>
        <w:t xml:space="preserve">can </w:t>
      </w:r>
      <w:r w:rsidR="003C5E79">
        <w:rPr>
          <w:color w:val="262626"/>
        </w:rPr>
        <w:t xml:space="preserve">therefore </w:t>
      </w:r>
      <w:r>
        <w:rPr>
          <w:color w:val="262626"/>
        </w:rPr>
        <w:t xml:space="preserve">combine their efforts </w:t>
      </w:r>
      <w:r w:rsidR="003C5E79">
        <w:rPr>
          <w:color w:val="262626"/>
        </w:rPr>
        <w:t xml:space="preserve">to address the tasks described </w:t>
      </w:r>
      <w:r w:rsidR="002A25B4">
        <w:rPr>
          <w:color w:val="262626"/>
        </w:rPr>
        <w:t xml:space="preserve">in the Way Forward </w:t>
      </w:r>
      <w:r w:rsidR="003C5E79">
        <w:rPr>
          <w:color w:val="262626"/>
        </w:rPr>
        <w:t>through</w:t>
      </w:r>
      <w:r w:rsidR="002A25B4">
        <w:rPr>
          <w:color w:val="262626"/>
        </w:rPr>
        <w:t xml:space="preserve"> the Joint CEOS/CGMS </w:t>
      </w:r>
      <w:proofErr w:type="spellStart"/>
      <w:r w:rsidR="002A25B4">
        <w:rPr>
          <w:color w:val="262626"/>
        </w:rPr>
        <w:t>WGClimate</w:t>
      </w:r>
      <w:proofErr w:type="spellEnd"/>
      <w:r w:rsidR="002A25B4">
        <w:rPr>
          <w:color w:val="262626"/>
        </w:rPr>
        <w:t xml:space="preserve">. </w:t>
      </w:r>
    </w:p>
    <w:p w14:paraId="46B12E30" w14:textId="77777777" w:rsidR="00215EC9" w:rsidRDefault="00215EC9"/>
    <w:p w14:paraId="1645BCC9" w14:textId="5011F4FF" w:rsidR="00330A6B" w:rsidRPr="001D304D" w:rsidRDefault="00287EB0" w:rsidP="00021A2D">
      <w:pPr>
        <w:pStyle w:val="Heading1"/>
      </w:pPr>
      <w:bookmarkStart w:id="2" w:name="_Toc21714987"/>
      <w:r w:rsidRPr="0040568B">
        <w:t>Context</w:t>
      </w:r>
      <w:bookmarkEnd w:id="2"/>
    </w:p>
    <w:p w14:paraId="0C681A3A" w14:textId="77777777" w:rsidR="00330A6B" w:rsidRDefault="00287EB0">
      <w:bookmarkStart w:id="3" w:name="_1fob9te" w:colFirst="0" w:colLast="0"/>
      <w:bookmarkEnd w:id="3"/>
      <w:r>
        <w:t xml:space="preserve">The United Nations Framework Convention on Climate Change (UNFCCC) </w:t>
      </w:r>
      <w:proofErr w:type="gramStart"/>
      <w:r>
        <w:t>was established</w:t>
      </w:r>
      <w:proofErr w:type="gramEnd"/>
      <w:r>
        <w:t xml:space="preserve"> in 1994 to stabilize “greenhouse gas concentrations in the atmosphere at a level that would prevent dangerous anthropogenic interference in the climate system.” To limit the increase in the globally average temperatures to less than 2 °C above pre-industrial levels, the 21st session of the Conference of the Parties (COP21) of the UNFCCC implemented the Paris Agreement, an ambitious global effort to reduce GHG emission. Parties to the 2015 Paris Agreement defined nationally</w:t>
      </w:r>
      <w:r w:rsidR="00021A2D">
        <w:t xml:space="preserve"> </w:t>
      </w:r>
      <w:r>
        <w:t xml:space="preserve">determined contributions (NDCs) to a global GHG emissions reduction effort. Each party agreed to report their anthropogenic GHG emissions and removals to the UNFCCC, which would evaluate their progress toward their NDCs at 5-year intervals through a “global </w:t>
      </w:r>
      <w:proofErr w:type="spellStart"/>
      <w:r>
        <w:t>stocktake</w:t>
      </w:r>
      <w:proofErr w:type="spellEnd"/>
      <w:r>
        <w:t>”, the first of which is scheduled for 2023.</w:t>
      </w:r>
    </w:p>
    <w:p w14:paraId="10C2E72F" w14:textId="77777777" w:rsidR="00330A6B" w:rsidRDefault="00287EB0">
      <w:r>
        <w:t xml:space="preserve">To track their progress toward their NDCs and the global GHG emission reduction targets, each Party agreed to provide a national inventory report of anthropogenic emissions by sources and removals by sinks of GHGs, prepared using best-practice methodologies accepted by the Intergovernmental Panel on Climate Change (IPCC). These methods </w:t>
      </w:r>
      <w:proofErr w:type="gramStart"/>
      <w:r>
        <w:t>are based</w:t>
      </w:r>
      <w:proofErr w:type="gramEnd"/>
      <w:r>
        <w:t xml:space="preserve"> on “bottom-up” emission inventories, compiled from a statistical analysis of emissions reported from sources in specific sectors and categories. To ensure the effectiveness of this approach, the Agreement (Article 13) defines the implementation of an enhanced “Transparency Framework” to promote the transparency, accuracy, completeness, consistency, comparability, and environmental integrity of the </w:t>
      </w:r>
      <w:proofErr w:type="spellStart"/>
      <w:r>
        <w:t>stocktake</w:t>
      </w:r>
      <w:proofErr w:type="spellEnd"/>
      <w:r>
        <w:t>.</w:t>
      </w:r>
    </w:p>
    <w:p w14:paraId="202BADD3" w14:textId="77777777" w:rsidR="00330A6B" w:rsidRDefault="00287EB0">
      <w:r>
        <w:t xml:space="preserve">Measurements of the atmospheric concentrations </w:t>
      </w:r>
      <w:r w:rsidR="00FC4003" w:rsidRPr="00520F0F">
        <w:t>CO</w:t>
      </w:r>
      <w:r w:rsidR="00FC4003" w:rsidRPr="00520F0F">
        <w:rPr>
          <w:vertAlign w:val="subscript"/>
        </w:rPr>
        <w:t>2</w:t>
      </w:r>
      <w:r>
        <w:t xml:space="preserve"> and </w:t>
      </w:r>
      <w:r w:rsidR="00FC4003" w:rsidRPr="00035ADA">
        <w:rPr>
          <w:rFonts w:cs="Times New Roman"/>
        </w:rPr>
        <w:t>CH</w:t>
      </w:r>
      <w:r w:rsidR="00FC4003" w:rsidRPr="00035ADA">
        <w:rPr>
          <w:rFonts w:cs="Times New Roman"/>
          <w:vertAlign w:val="subscript"/>
        </w:rPr>
        <w:t>4</w:t>
      </w:r>
      <w:r>
        <w:t xml:space="preserve"> and their changes over space and time also provide valuable information about their emissions and removals. While bottom-up inventories provide specific information about known emission sources, “top-down” methods based on atmospheric measurements provide an integrated constraint on the net amount of each gas that is exchanged between the surface and the atmosphere by natural and anthropogenic processes. Accurate, spatially- and temporally-resolved atmospheric </w:t>
      </w:r>
      <w:r w:rsidR="00FC4003" w:rsidRPr="00520F0F">
        <w:t>CO</w:t>
      </w:r>
      <w:r w:rsidR="00FC4003" w:rsidRPr="00520F0F">
        <w:rPr>
          <w:vertAlign w:val="subscript"/>
        </w:rPr>
        <w:t>2</w:t>
      </w:r>
      <w:r>
        <w:t xml:space="preserve"> and </w:t>
      </w:r>
      <w:r w:rsidR="00FC4003" w:rsidRPr="00035ADA">
        <w:rPr>
          <w:rFonts w:cs="Times New Roman"/>
        </w:rPr>
        <w:t>CH</w:t>
      </w:r>
      <w:r w:rsidR="00FC4003" w:rsidRPr="00035ADA">
        <w:rPr>
          <w:rFonts w:cs="Times New Roman"/>
          <w:vertAlign w:val="subscript"/>
        </w:rPr>
        <w:t>4</w:t>
      </w:r>
      <w:r>
        <w:t xml:space="preserve"> measurements can therefore provide additional information for bottom-up inventories as well as a complementary approach for assessing NDCs.</w:t>
      </w:r>
    </w:p>
    <w:p w14:paraId="46B83086" w14:textId="77777777" w:rsidR="00330A6B" w:rsidRDefault="00287EB0">
      <w:r>
        <w:t xml:space="preserve">At global scales, atmospheric concentrations of </w:t>
      </w:r>
      <w:r w:rsidR="00FC4003" w:rsidRPr="00520F0F">
        <w:t>CO</w:t>
      </w:r>
      <w:r w:rsidR="00FC4003" w:rsidRPr="00520F0F">
        <w:rPr>
          <w:vertAlign w:val="subscript"/>
        </w:rPr>
        <w:t>2</w:t>
      </w:r>
      <w:r>
        <w:t xml:space="preserve">, </w:t>
      </w:r>
      <w:r w:rsidR="00FC4003" w:rsidRPr="00035ADA">
        <w:rPr>
          <w:rFonts w:cs="Times New Roman"/>
        </w:rPr>
        <w:t>CH</w:t>
      </w:r>
      <w:r w:rsidR="00FC4003" w:rsidRPr="00035ADA">
        <w:rPr>
          <w:rFonts w:cs="Times New Roman"/>
          <w:vertAlign w:val="subscript"/>
        </w:rPr>
        <w:t>4</w:t>
      </w:r>
      <w:r>
        <w:t xml:space="preserve"> and other well-mixed greenhouse gases (GHGs) </w:t>
      </w:r>
      <w:proofErr w:type="gramStart"/>
      <w:r>
        <w:t>are well characterized</w:t>
      </w:r>
      <w:proofErr w:type="gramEnd"/>
      <w:r>
        <w:t xml:space="preserve"> by precise, systematic, ground-based in situ measurements from a </w:t>
      </w:r>
      <w:r>
        <w:lastRenderedPageBreak/>
        <w:t xml:space="preserve">network of ~145 surface stations that are coordinated by WMO Global Atmospheric Watch (GAW) program. </w:t>
      </w:r>
      <w:r w:rsidR="00FC4003">
        <w:t>However, this network</w:t>
      </w:r>
      <w:r>
        <w:t xml:space="preserve"> still does not provide the spatial resolution and coverage needed to identify or quantify the sources emitting </w:t>
      </w:r>
      <w:r w:rsidR="00FC4003" w:rsidRPr="00520F0F">
        <w:t>CO</w:t>
      </w:r>
      <w:r w:rsidR="00FC4003" w:rsidRPr="00520F0F">
        <w:rPr>
          <w:vertAlign w:val="subscript"/>
        </w:rPr>
        <w:t>2</w:t>
      </w:r>
      <w:r>
        <w:t xml:space="preserve"> and </w:t>
      </w:r>
      <w:r w:rsidR="00FC4003" w:rsidRPr="00035ADA">
        <w:rPr>
          <w:rFonts w:cs="Times New Roman"/>
        </w:rPr>
        <w:t>CH</w:t>
      </w:r>
      <w:r w:rsidR="00FC4003" w:rsidRPr="00035ADA">
        <w:rPr>
          <w:rFonts w:cs="Times New Roman"/>
          <w:vertAlign w:val="subscript"/>
        </w:rPr>
        <w:t>4</w:t>
      </w:r>
      <w:r>
        <w:t xml:space="preserve"> into the atmosphere on the scale of individual nation</w:t>
      </w:r>
      <w:r w:rsidR="001D304D">
        <w:t>s</w:t>
      </w:r>
      <w:r>
        <w:t xml:space="preserve">, or to localize or quantify the natural sinks that remove these gases. A dramatic expansion of the GAW GHG network </w:t>
      </w:r>
      <w:proofErr w:type="gramStart"/>
      <w:r>
        <w:t>would be needed</w:t>
      </w:r>
      <w:proofErr w:type="gramEnd"/>
      <w:r>
        <w:t xml:space="preserve"> to identify emission “hot spots” missed by the inventories or to assess the effectiveness of national carbon emission management strategies.</w:t>
      </w:r>
    </w:p>
    <w:p w14:paraId="232A595A" w14:textId="14924851" w:rsidR="001D304D" w:rsidRDefault="00287EB0">
      <w:r>
        <w:t xml:space="preserve">Recent advances in space-based remote sensing methods are providing new opportunities to augment the spatial and temporal resolution and coverage of the ground-based network. Measurements collected by space-based sensors can be analyzed to estimate the column-averaged dry air mole fractions of </w:t>
      </w:r>
      <w:r w:rsidR="001D304D" w:rsidRPr="00520F0F">
        <w:t>CO</w:t>
      </w:r>
      <w:r w:rsidR="001D304D" w:rsidRPr="00520F0F">
        <w:rPr>
          <w:vertAlign w:val="subscript"/>
        </w:rPr>
        <w:t>2</w:t>
      </w:r>
      <w:r>
        <w:t xml:space="preserve"> and </w:t>
      </w:r>
      <w:r w:rsidR="001D304D" w:rsidRPr="00035ADA">
        <w:rPr>
          <w:rFonts w:cs="Times New Roman"/>
        </w:rPr>
        <w:t>CH</w:t>
      </w:r>
      <w:r w:rsidR="001D304D" w:rsidRPr="00035ADA">
        <w:rPr>
          <w:rFonts w:cs="Times New Roman"/>
          <w:vertAlign w:val="subscript"/>
        </w:rPr>
        <w:t>4</w:t>
      </w:r>
      <w:r>
        <w:t xml:space="preserve"> (hereinafter </w:t>
      </w:r>
      <w:r w:rsidR="001D304D" w:rsidRPr="007A718C">
        <w:rPr>
          <w:rFonts w:eastAsia="Times New Roman" w:cs="Times New Roman"/>
          <w:szCs w:val="24"/>
        </w:rPr>
        <w:t>XCO</w:t>
      </w:r>
      <w:r w:rsidR="001D304D" w:rsidRPr="007A718C">
        <w:rPr>
          <w:rFonts w:eastAsia="Times New Roman" w:cs="Times New Roman"/>
          <w:szCs w:val="24"/>
          <w:vertAlign w:val="subscript"/>
        </w:rPr>
        <w:t>2</w:t>
      </w:r>
      <w:r>
        <w:t xml:space="preserve"> and </w:t>
      </w:r>
      <w:r w:rsidR="001D304D" w:rsidRPr="00F938B9">
        <w:rPr>
          <w:rFonts w:cs="Times New Roman"/>
        </w:rPr>
        <w:t>X</w:t>
      </w:r>
      <w:r w:rsidR="001D304D" w:rsidRPr="00F938B9">
        <w:rPr>
          <w:rFonts w:cs="Times New Roman"/>
          <w:szCs w:val="20"/>
          <w:lang w:val="en-GB"/>
        </w:rPr>
        <w:t>CH</w:t>
      </w:r>
      <w:r w:rsidR="001D304D" w:rsidRPr="00F938B9">
        <w:rPr>
          <w:rFonts w:cs="Times New Roman"/>
          <w:szCs w:val="20"/>
          <w:vertAlign w:val="subscript"/>
          <w:lang w:val="en-GB"/>
        </w:rPr>
        <w:t>4</w:t>
      </w:r>
      <w:r>
        <w:t xml:space="preserve">, respectively). </w:t>
      </w:r>
      <w:r w:rsidR="0080462B">
        <w:t>These space-based</w:t>
      </w:r>
      <w:r w:rsidR="00174C52">
        <w:t xml:space="preserve"> concentration estimates</w:t>
      </w:r>
      <w:r w:rsidR="001D304D">
        <w:t xml:space="preserve"> are as accurate as those obtained from t</w:t>
      </w:r>
      <w:r w:rsidR="005A738A">
        <w:t>he ground-</w:t>
      </w:r>
      <w:proofErr w:type="gramStart"/>
      <w:r w:rsidR="005A738A">
        <w:t>based</w:t>
      </w:r>
      <w:proofErr w:type="gramEnd"/>
      <w:r w:rsidR="005A738A">
        <w:t xml:space="preserve"> and airborne sensors</w:t>
      </w:r>
      <w:r w:rsidR="001D304D">
        <w:t xml:space="preserve">, but </w:t>
      </w:r>
      <w:r w:rsidR="00174C52">
        <w:t xml:space="preserve">they can provide much greater resolution and coverage </w:t>
      </w:r>
      <w:r>
        <w:t xml:space="preserve">of the globe, including areas that are too geographically or politically inaccessible to support ground-based stations. </w:t>
      </w:r>
      <w:r w:rsidR="001D304D">
        <w:t xml:space="preserve">A global GHG monitoring system that </w:t>
      </w:r>
      <w:r w:rsidR="0080462B">
        <w:t>integrates</w:t>
      </w:r>
      <w:r w:rsidR="001D304D">
        <w:t xml:space="preserve"> accurate airborne</w:t>
      </w:r>
      <w:r w:rsidR="00174C52">
        <w:t xml:space="preserve"> and ground-based measurements</w:t>
      </w:r>
      <w:r w:rsidR="001D304D">
        <w:t xml:space="preserve"> with spatially dense space-borne </w:t>
      </w:r>
      <w:r w:rsidR="00174C52">
        <w:t xml:space="preserve">estimates of </w:t>
      </w:r>
      <w:r w:rsidR="00174C52" w:rsidRPr="007A718C">
        <w:rPr>
          <w:rFonts w:eastAsia="Times New Roman" w:cs="Times New Roman"/>
          <w:szCs w:val="24"/>
        </w:rPr>
        <w:t>XCO</w:t>
      </w:r>
      <w:r w:rsidR="00174C52" w:rsidRPr="007A718C">
        <w:rPr>
          <w:rFonts w:eastAsia="Times New Roman" w:cs="Times New Roman"/>
          <w:szCs w:val="24"/>
          <w:vertAlign w:val="subscript"/>
        </w:rPr>
        <w:t>2</w:t>
      </w:r>
      <w:r w:rsidR="00174C52">
        <w:t xml:space="preserve"> and </w:t>
      </w:r>
      <w:r w:rsidR="00174C52" w:rsidRPr="00F938B9">
        <w:rPr>
          <w:rFonts w:cs="Times New Roman"/>
        </w:rPr>
        <w:t>X</w:t>
      </w:r>
      <w:r w:rsidR="00174C52" w:rsidRPr="00F938B9">
        <w:rPr>
          <w:rFonts w:cs="Times New Roman"/>
          <w:szCs w:val="20"/>
          <w:lang w:val="en-GB"/>
        </w:rPr>
        <w:t>CH</w:t>
      </w:r>
      <w:r w:rsidR="00174C52" w:rsidRPr="00F938B9">
        <w:rPr>
          <w:rFonts w:cs="Times New Roman"/>
          <w:szCs w:val="20"/>
          <w:vertAlign w:val="subscript"/>
          <w:lang w:val="en-GB"/>
        </w:rPr>
        <w:t>4</w:t>
      </w:r>
      <w:r w:rsidR="0080462B">
        <w:t xml:space="preserve"> could ther</w:t>
      </w:r>
      <w:r w:rsidR="00174C52">
        <w:t>e</w:t>
      </w:r>
      <w:r w:rsidR="0080462B">
        <w:t xml:space="preserve">fore </w:t>
      </w:r>
      <w:r w:rsidR="00174C52">
        <w:t>yield</w:t>
      </w:r>
      <w:r w:rsidR="0080462B">
        <w:t xml:space="preserve"> atmospheric </w:t>
      </w:r>
      <w:r w:rsidR="0080462B" w:rsidRPr="00520F0F">
        <w:t>CO</w:t>
      </w:r>
      <w:r w:rsidR="0080462B" w:rsidRPr="00520F0F">
        <w:rPr>
          <w:vertAlign w:val="subscript"/>
        </w:rPr>
        <w:t>2</w:t>
      </w:r>
      <w:r w:rsidR="0080462B">
        <w:t xml:space="preserve"> and </w:t>
      </w:r>
      <w:r w:rsidR="0080462B" w:rsidRPr="00035ADA">
        <w:rPr>
          <w:rFonts w:cs="Times New Roman"/>
        </w:rPr>
        <w:t>CH</w:t>
      </w:r>
      <w:r w:rsidR="0080462B" w:rsidRPr="00035ADA">
        <w:rPr>
          <w:rFonts w:cs="Times New Roman"/>
          <w:vertAlign w:val="subscript"/>
        </w:rPr>
        <w:t>4</w:t>
      </w:r>
      <w:r w:rsidR="0080462B">
        <w:t xml:space="preserve"> inventories that complement the bottom-up </w:t>
      </w:r>
      <w:r w:rsidR="00174C52">
        <w:t>inventory statistical inventor</w:t>
      </w:r>
      <w:r>
        <w:t>ie</w:t>
      </w:r>
      <w:r w:rsidR="0080462B">
        <w:t xml:space="preserve">s used to </w:t>
      </w:r>
      <w:r w:rsidR="0080462B" w:rsidRPr="0080462B">
        <w:t xml:space="preserve">track progress </w:t>
      </w:r>
      <w:r w:rsidR="00174C52">
        <w:t xml:space="preserve">toward </w:t>
      </w:r>
      <w:r w:rsidR="0080462B" w:rsidRPr="0080462B">
        <w:t>GHG emission reduction targets</w:t>
      </w:r>
      <w:r w:rsidR="0080462B">
        <w:t>.</w:t>
      </w:r>
    </w:p>
    <w:p w14:paraId="2AB28EEA" w14:textId="4AED12C2" w:rsidR="00330A6B" w:rsidRDefault="00287EB0">
      <w:r>
        <w:t>Space agencies responded to these challenges by supporting pioneering space-based experiments designed to retrieve spatially</w:t>
      </w:r>
      <w:r w:rsidR="0080462B">
        <w:t xml:space="preserve"> </w:t>
      </w:r>
      <w:r>
        <w:t xml:space="preserve">resolved estimates of atmospheric </w:t>
      </w:r>
      <w:r w:rsidR="00174C52" w:rsidRPr="00520F0F">
        <w:t>CO</w:t>
      </w:r>
      <w:r w:rsidR="00174C52" w:rsidRPr="00520F0F">
        <w:rPr>
          <w:vertAlign w:val="subscript"/>
        </w:rPr>
        <w:t>2</w:t>
      </w:r>
      <w:r>
        <w:t xml:space="preserve"> and </w:t>
      </w:r>
      <w:r w:rsidR="00174C52" w:rsidRPr="00035ADA">
        <w:rPr>
          <w:rFonts w:cs="Times New Roman"/>
        </w:rPr>
        <w:t>CH</w:t>
      </w:r>
      <w:r w:rsidR="00174C52" w:rsidRPr="00035ADA">
        <w:rPr>
          <w:rFonts w:cs="Times New Roman"/>
          <w:vertAlign w:val="subscript"/>
        </w:rPr>
        <w:t>4</w:t>
      </w:r>
      <w:r>
        <w:t xml:space="preserve"> concentrations from high spectral resolution observations of reflected sunlight. The first of these included the </w:t>
      </w:r>
      <w:r w:rsidR="00835C0B">
        <w:t>combined German-Dutch-Belgian contribution in kind</w:t>
      </w:r>
      <w:r>
        <w:t xml:space="preserve"> </w:t>
      </w:r>
      <w:proofErr w:type="spellStart"/>
      <w:r>
        <w:t>SCanning</w:t>
      </w:r>
      <w:proofErr w:type="spellEnd"/>
      <w:r>
        <w:t xml:space="preserve"> Imaging Absorption </w:t>
      </w:r>
      <w:proofErr w:type="spellStart"/>
      <w:r>
        <w:t>spectroMeter</w:t>
      </w:r>
      <w:proofErr w:type="spellEnd"/>
      <w:r>
        <w:t xml:space="preserve"> for Atmospheric </w:t>
      </w:r>
      <w:proofErr w:type="spellStart"/>
      <w:r>
        <w:t>CartograpHY</w:t>
      </w:r>
      <w:proofErr w:type="spellEnd"/>
      <w:r>
        <w:t xml:space="preserve"> (SCIAMACHY)</w:t>
      </w:r>
      <w:r w:rsidR="00835C0B">
        <w:t xml:space="preserve"> onboard the European Space Agency (ESA) Environmental Satellite (ENVISAT)</w:t>
      </w:r>
      <w:r>
        <w:t xml:space="preserve">, </w:t>
      </w:r>
      <w:r w:rsidR="00174C52">
        <w:t>Japan’s</w:t>
      </w:r>
      <w:r>
        <w:t xml:space="preserve"> Greenhouse gases Observing </w:t>
      </w:r>
      <w:proofErr w:type="spellStart"/>
      <w:r>
        <w:t>SATellite</w:t>
      </w:r>
      <w:proofErr w:type="spellEnd"/>
      <w:r>
        <w:t xml:space="preserve"> (GOSAT) Thermal and Near Infrared Sensor for Carbon Observation-Fourier Transform Spectrometer (TANSO-FTS), and the National Aeronautics and Space Administration (NASA) Orbiting Carbon Observaotry-2 (OCO-2) mission. The free and open distribution of the data from these missions has fostered rapid progress in the development of a new generation of remote sensing retrieval algorithms optimized to retrieve </w:t>
      </w:r>
      <w:r w:rsidR="00174C52" w:rsidRPr="007A718C">
        <w:rPr>
          <w:rFonts w:eastAsia="Times New Roman" w:cs="Times New Roman"/>
          <w:szCs w:val="24"/>
        </w:rPr>
        <w:t>XCO</w:t>
      </w:r>
      <w:r w:rsidR="00174C52" w:rsidRPr="007A718C">
        <w:rPr>
          <w:rFonts w:eastAsia="Times New Roman" w:cs="Times New Roman"/>
          <w:szCs w:val="24"/>
          <w:vertAlign w:val="subscript"/>
        </w:rPr>
        <w:t>2</w:t>
      </w:r>
      <w:r>
        <w:t xml:space="preserve"> and </w:t>
      </w:r>
      <w:r w:rsidR="00174C52" w:rsidRPr="00F938B9">
        <w:rPr>
          <w:rFonts w:cs="Times New Roman"/>
        </w:rPr>
        <w:t>X</w:t>
      </w:r>
      <w:r w:rsidR="00174C52" w:rsidRPr="00F938B9">
        <w:rPr>
          <w:rFonts w:cs="Times New Roman"/>
          <w:szCs w:val="20"/>
          <w:lang w:val="en-GB"/>
        </w:rPr>
        <w:t>CH</w:t>
      </w:r>
      <w:r w:rsidR="00174C52" w:rsidRPr="00F938B9">
        <w:rPr>
          <w:rFonts w:cs="Times New Roman"/>
          <w:szCs w:val="20"/>
          <w:vertAlign w:val="subscript"/>
          <w:lang w:val="en-GB"/>
        </w:rPr>
        <w:t>4</w:t>
      </w:r>
      <w:r>
        <w:t xml:space="preserve"> from space-based spectroscopic measurements.</w:t>
      </w:r>
    </w:p>
    <w:p w14:paraId="1F2169D9" w14:textId="77777777" w:rsidR="00330A6B" w:rsidRDefault="00287EB0">
      <w:r>
        <w:t>Recognizing the need for a coordinated global system to monitor the carbon cycle’s response to both human activities and the changing climate, the Group on Earth Observations (GEO) commissioned the GEO Carbon Strategy (</w:t>
      </w:r>
      <w:proofErr w:type="spellStart"/>
      <w:r>
        <w:t>Ciais</w:t>
      </w:r>
      <w:proofErr w:type="spellEnd"/>
      <w:r>
        <w:t xml:space="preserve"> et al. 2010). This report called for an Integrated Global Carbon Observing system (IGCO) within GEO and the Global Climate Observing System (GCOS) that would incorporate advanced ground- and space-based observations to meet the increasingly pressing needs for policy-relevant scientific information. The Committee on Earth Observation Satellites (CEOS) responded to the GEO Carbon Strategy report by convening a Carbon Task Force (CTF), which compiled the CEOS Strategy for Carbon Observations from Space (</w:t>
      </w:r>
      <w:proofErr w:type="spellStart"/>
      <w:r>
        <w:t>Wickland</w:t>
      </w:r>
      <w:proofErr w:type="spellEnd"/>
      <w:r>
        <w:t xml:space="preserve"> et al. 2014; hereinafter, CEOS Carbon Strategy). The CEOS Carbon Strategy report documents the state of knowledge and measurement requirements for the atmospheric, oceanic, and terrestrial domains and their interfaces, and identifies several actions to be completed by its member agencies. </w:t>
      </w:r>
    </w:p>
    <w:p w14:paraId="5FE65E35" w14:textId="77777777" w:rsidR="00287EB0" w:rsidRDefault="00287EB0" w:rsidP="00287EB0">
      <w:r>
        <w:t xml:space="preserve">Given the recent progress with SCIAMACHY, GOSAT, and OCO-2, the CEOS Chair recognized that high-quality observations of atmospheric </w:t>
      </w:r>
      <w:r w:rsidRPr="00520F0F">
        <w:t>CO</w:t>
      </w:r>
      <w:r w:rsidRPr="00520F0F">
        <w:rPr>
          <w:vertAlign w:val="subscript"/>
        </w:rPr>
        <w:t>2</w:t>
      </w:r>
      <w:r>
        <w:t xml:space="preserve"> and </w:t>
      </w:r>
      <w:r w:rsidRPr="00035ADA">
        <w:rPr>
          <w:rFonts w:cs="Times New Roman"/>
        </w:rPr>
        <w:t>CH</w:t>
      </w:r>
      <w:r w:rsidRPr="00035ADA">
        <w:rPr>
          <w:rFonts w:cs="Times New Roman"/>
          <w:vertAlign w:val="subscript"/>
        </w:rPr>
        <w:t>4</w:t>
      </w:r>
      <w:r>
        <w:t xml:space="preserve"> could be an essential component of an integrated global carbon observing system (Figure 1), such as that advocated by the WMO</w:t>
      </w:r>
      <w:r w:rsidR="009C1F42">
        <w:t xml:space="preserve"> </w:t>
      </w:r>
      <w:r>
        <w:t>IG</w:t>
      </w:r>
      <w:r w:rsidRPr="00021292">
        <w:rPr>
          <w:vertAlign w:val="superscript"/>
        </w:rPr>
        <w:t>3</w:t>
      </w:r>
      <w:r>
        <w:t xml:space="preserve">IS. In such systems, the space-based </w:t>
      </w:r>
      <w:r w:rsidRPr="007A718C">
        <w:rPr>
          <w:rFonts w:eastAsia="Times New Roman" w:cs="Times New Roman"/>
          <w:szCs w:val="24"/>
        </w:rPr>
        <w:t>XCO</w:t>
      </w:r>
      <w:r w:rsidRPr="007A718C">
        <w:rPr>
          <w:rFonts w:eastAsia="Times New Roman" w:cs="Times New Roman"/>
          <w:szCs w:val="24"/>
          <w:vertAlign w:val="subscript"/>
        </w:rPr>
        <w:t>2</w:t>
      </w:r>
      <w:r>
        <w:t xml:space="preserve"> and </w:t>
      </w:r>
      <w:r w:rsidRPr="00F938B9">
        <w:rPr>
          <w:rFonts w:cs="Times New Roman"/>
        </w:rPr>
        <w:t>X</w:t>
      </w:r>
      <w:r w:rsidRPr="00F938B9">
        <w:rPr>
          <w:rFonts w:cs="Times New Roman"/>
          <w:szCs w:val="20"/>
          <w:lang w:val="en-GB"/>
        </w:rPr>
        <w:t>CH</w:t>
      </w:r>
      <w:r w:rsidRPr="00F938B9">
        <w:rPr>
          <w:rFonts w:cs="Times New Roman"/>
          <w:szCs w:val="20"/>
          <w:vertAlign w:val="subscript"/>
          <w:lang w:val="en-GB"/>
        </w:rPr>
        <w:t>4</w:t>
      </w:r>
      <w:r>
        <w:t xml:space="preserve"> estimates complement the spatial resolution and coverage of the ground-based and airborne in situ measurements. If the ground- based, airborne, and space-based datasets can be harmonized, they can be assimilated into atmospheric inverse systems to yield top-down global inventories of CO</w:t>
      </w:r>
      <w:r w:rsidRPr="003C5E79">
        <w:rPr>
          <w:vertAlign w:val="subscript"/>
        </w:rPr>
        <w:t>2</w:t>
      </w:r>
      <w:r>
        <w:t xml:space="preserve"> and CH</w:t>
      </w:r>
      <w:r w:rsidRPr="003C5E79">
        <w:rPr>
          <w:vertAlign w:val="subscript"/>
        </w:rPr>
        <w:t>4</w:t>
      </w:r>
      <w:r>
        <w:t xml:space="preserve"> fluxes with the accuracy, precision, resolution and coverage needed to serve as a complementary system for estimating NDCs, as proposed in the 2016 New Delhi </w:t>
      </w:r>
      <w:r>
        <w:lastRenderedPageBreak/>
        <w:t xml:space="preserve">Declaration. In addition, if these atmospheric data products </w:t>
      </w:r>
      <w:proofErr w:type="gramStart"/>
      <w:r>
        <w:t>were distributed</w:t>
      </w:r>
      <w:proofErr w:type="gramEnd"/>
      <w:r>
        <w:t xml:space="preserve"> freely and openly, in compliance with the CEOS data policy, they could support the Transparency Framework.</w:t>
      </w:r>
    </w:p>
    <w:p w14:paraId="23B8EFD2" w14:textId="77777777" w:rsidR="00330A6B" w:rsidRDefault="00330A6B"/>
    <w:p w14:paraId="08D51998" w14:textId="77777777" w:rsidR="00330A6B" w:rsidRDefault="00287EB0">
      <w:r>
        <w:rPr>
          <w:noProof/>
        </w:rPr>
        <w:drawing>
          <wp:inline distT="0" distB="0" distL="0" distR="0" wp14:anchorId="71633DB7" wp14:editId="07438D72">
            <wp:extent cx="5727700" cy="383159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27700" cy="3831590"/>
                    </a:xfrm>
                    <a:prstGeom prst="rect">
                      <a:avLst/>
                    </a:prstGeom>
                    <a:ln/>
                  </pic:spPr>
                </pic:pic>
              </a:graphicData>
            </a:graphic>
          </wp:inline>
        </w:drawing>
      </w:r>
    </w:p>
    <w:p w14:paraId="72438893" w14:textId="77777777" w:rsidR="00330A6B" w:rsidRDefault="00287EB0">
      <w:pPr>
        <w:rPr>
          <w:i/>
        </w:rPr>
      </w:pPr>
      <w:r>
        <w:rPr>
          <w:i/>
        </w:rPr>
        <w:t xml:space="preserve">Figure 1: System </w:t>
      </w:r>
      <w:r w:rsidR="004B26AD">
        <w:rPr>
          <w:i/>
        </w:rPr>
        <w:t xml:space="preserve">functional </w:t>
      </w:r>
      <w:r>
        <w:rPr>
          <w:i/>
        </w:rPr>
        <w:t>overview. Adapted following JRC GHG Workshop 2018 [REF]</w:t>
      </w:r>
    </w:p>
    <w:p w14:paraId="23DB5DA0" w14:textId="77777777" w:rsidR="00330A6B" w:rsidRDefault="00287EB0">
      <w:r>
        <w:t xml:space="preserve">To advance these goals, the CEOS Chair commissioned the Atmospheric Composition Virtual Constellation (AC-VC) to define the key characteristics of a global architecture for monitoring atmospheric </w:t>
      </w:r>
      <w:proofErr w:type="gramStart"/>
      <w:r w:rsidR="00763F50" w:rsidRPr="00520F0F">
        <w:t>CO</w:t>
      </w:r>
      <w:r w:rsidR="00763F50" w:rsidRPr="00520F0F">
        <w:rPr>
          <w:vertAlign w:val="subscript"/>
        </w:rPr>
        <w:t>2</w:t>
      </w:r>
      <w:r>
        <w:t xml:space="preserve"> and </w:t>
      </w:r>
      <w:r w:rsidR="00763F50" w:rsidRPr="00035ADA">
        <w:rPr>
          <w:rFonts w:cs="Times New Roman"/>
        </w:rPr>
        <w:t>CH</w:t>
      </w:r>
      <w:r w:rsidR="00763F50" w:rsidRPr="00035ADA">
        <w:rPr>
          <w:rFonts w:cs="Times New Roman"/>
          <w:vertAlign w:val="subscript"/>
        </w:rPr>
        <w:t>4</w:t>
      </w:r>
      <w:r>
        <w:t xml:space="preserve"> concentrations</w:t>
      </w:r>
      <w:proofErr w:type="gramEnd"/>
      <w:r>
        <w:t xml:space="preserve"> and their natural and anthropogenic fluxes from instruments on space-based platforms to:</w:t>
      </w:r>
    </w:p>
    <w:p w14:paraId="31A37E18" w14:textId="77777777" w:rsidR="00330A6B" w:rsidRPr="00021292" w:rsidRDefault="00287EB0">
      <w:pPr>
        <w:numPr>
          <w:ilvl w:val="0"/>
          <w:numId w:val="4"/>
        </w:numPr>
        <w:pBdr>
          <w:top w:val="nil"/>
          <w:left w:val="nil"/>
          <w:bottom w:val="nil"/>
          <w:right w:val="nil"/>
          <w:between w:val="nil"/>
        </w:pBdr>
        <w:spacing w:before="120" w:after="0"/>
        <w:rPr>
          <w:rFonts w:asciiTheme="majorHAnsi" w:hAnsiTheme="majorHAnsi" w:cstheme="majorHAnsi"/>
          <w:color w:val="000000"/>
        </w:rPr>
      </w:pPr>
      <w:r w:rsidRPr="00021292">
        <w:rPr>
          <w:rFonts w:asciiTheme="majorHAnsi" w:eastAsia="Times New Roman" w:hAnsiTheme="majorHAnsi" w:cstheme="majorHAnsi"/>
          <w:color w:val="000000"/>
        </w:rPr>
        <w:t>reduce uncertainty of national emission inventory reporting, identify additional emission reduction opportunities and provide nations with timely and quantified guidance on progress towards their emission reduction strategies and pledges (NDCs); and</w:t>
      </w:r>
    </w:p>
    <w:p w14:paraId="682936AF" w14:textId="77777777" w:rsidR="00330A6B" w:rsidRPr="00021292" w:rsidRDefault="00287EB0">
      <w:pPr>
        <w:numPr>
          <w:ilvl w:val="0"/>
          <w:numId w:val="4"/>
        </w:numPr>
        <w:pBdr>
          <w:top w:val="nil"/>
          <w:left w:val="nil"/>
          <w:bottom w:val="nil"/>
          <w:right w:val="nil"/>
          <w:between w:val="nil"/>
        </w:pBdr>
        <w:spacing w:after="120"/>
        <w:rPr>
          <w:rFonts w:asciiTheme="majorHAnsi" w:hAnsiTheme="majorHAnsi" w:cstheme="majorHAnsi"/>
          <w:color w:val="000000"/>
        </w:rPr>
      </w:pPr>
      <w:proofErr w:type="gramStart"/>
      <w:r w:rsidRPr="00021292">
        <w:rPr>
          <w:rFonts w:asciiTheme="majorHAnsi" w:eastAsia="Times New Roman" w:hAnsiTheme="majorHAnsi" w:cstheme="majorHAnsi"/>
          <w:color w:val="000000"/>
        </w:rPr>
        <w:t>track</w:t>
      </w:r>
      <w:proofErr w:type="gramEnd"/>
      <w:r w:rsidRPr="00021292">
        <w:rPr>
          <w:rFonts w:asciiTheme="majorHAnsi" w:eastAsia="Times New Roman" w:hAnsiTheme="majorHAnsi" w:cstheme="majorHAnsi"/>
          <w:color w:val="000000"/>
        </w:rPr>
        <w:t xml:space="preserve"> changes in the natural carbon cycle caused by human activities and climate change.</w:t>
      </w:r>
    </w:p>
    <w:p w14:paraId="1023BADC" w14:textId="77777777" w:rsidR="00287EB0" w:rsidRPr="00021292" w:rsidRDefault="00763F50" w:rsidP="00021292">
      <w:pPr>
        <w:pBdr>
          <w:top w:val="nil"/>
          <w:left w:val="nil"/>
          <w:bottom w:val="nil"/>
          <w:right w:val="nil"/>
          <w:between w:val="nil"/>
        </w:pBdr>
        <w:spacing w:after="120"/>
        <w:rPr>
          <w:rFonts w:asciiTheme="majorHAnsi" w:eastAsia="Times New Roman" w:hAnsiTheme="majorHAnsi" w:cstheme="majorHAnsi"/>
          <w:color w:val="000000"/>
        </w:rPr>
      </w:pPr>
      <w:r>
        <w:rPr>
          <w:rFonts w:asciiTheme="majorHAnsi" w:eastAsia="Times New Roman" w:hAnsiTheme="majorHAnsi" w:cstheme="majorHAnsi"/>
          <w:color w:val="000000"/>
        </w:rPr>
        <w:t xml:space="preserve">The resulting </w:t>
      </w:r>
      <w:r w:rsidR="00287EB0" w:rsidRPr="00021292">
        <w:rPr>
          <w:rFonts w:asciiTheme="majorHAnsi" w:eastAsia="Times New Roman" w:hAnsiTheme="majorHAnsi" w:cstheme="majorHAnsi"/>
          <w:color w:val="000000"/>
        </w:rPr>
        <w:t xml:space="preserve">CEOS AC-VC GHG Whitepaper </w:t>
      </w:r>
      <w:r>
        <w:rPr>
          <w:rFonts w:asciiTheme="majorHAnsi" w:eastAsia="Times New Roman" w:hAnsiTheme="majorHAnsi" w:cstheme="majorHAnsi"/>
          <w:color w:val="000000"/>
        </w:rPr>
        <w:t xml:space="preserve">is a 166-page document with contributions from 88 authors </w:t>
      </w:r>
      <w:r w:rsidR="00B31849">
        <w:rPr>
          <w:rFonts w:asciiTheme="majorHAnsi" w:eastAsia="Times New Roman" w:hAnsiTheme="majorHAnsi" w:cstheme="majorHAnsi"/>
          <w:color w:val="000000"/>
        </w:rPr>
        <w:t>representing</w:t>
      </w:r>
      <w:r>
        <w:rPr>
          <w:rFonts w:asciiTheme="majorHAnsi" w:eastAsia="Times New Roman" w:hAnsiTheme="majorHAnsi" w:cstheme="majorHAnsi"/>
          <w:color w:val="000000"/>
        </w:rPr>
        <w:t xml:space="preserve"> 47 organizations. It consists of </w:t>
      </w:r>
      <w:r w:rsidR="00B31849">
        <w:rPr>
          <w:rFonts w:asciiTheme="majorHAnsi" w:eastAsia="Times New Roman" w:hAnsiTheme="majorHAnsi" w:cstheme="majorHAnsi"/>
          <w:color w:val="000000"/>
        </w:rPr>
        <w:t xml:space="preserve">a </w:t>
      </w:r>
      <w:r>
        <w:rPr>
          <w:rFonts w:asciiTheme="majorHAnsi" w:eastAsia="Times New Roman" w:hAnsiTheme="majorHAnsi" w:cstheme="majorHAnsi"/>
          <w:color w:val="000000"/>
        </w:rPr>
        <w:t>2-page executive summary</w:t>
      </w:r>
      <w:r w:rsidR="00B31849">
        <w:rPr>
          <w:rFonts w:asciiTheme="majorHAnsi" w:eastAsia="Times New Roman" w:hAnsiTheme="majorHAnsi" w:cstheme="majorHAnsi"/>
          <w:color w:val="000000"/>
        </w:rPr>
        <w:t xml:space="preserve"> followed by </w:t>
      </w:r>
      <w:r>
        <w:rPr>
          <w:rFonts w:asciiTheme="majorHAnsi" w:eastAsia="Times New Roman" w:hAnsiTheme="majorHAnsi" w:cstheme="majorHAnsi"/>
          <w:color w:val="000000"/>
        </w:rPr>
        <w:t xml:space="preserve">a 75-page body, summarizing the science requirements, </w:t>
      </w:r>
      <w:r w:rsidR="008209D6">
        <w:rPr>
          <w:rFonts w:asciiTheme="majorHAnsi" w:eastAsia="Times New Roman" w:hAnsiTheme="majorHAnsi" w:cstheme="majorHAnsi"/>
          <w:color w:val="000000"/>
        </w:rPr>
        <w:t>existing</w:t>
      </w:r>
      <w:r>
        <w:rPr>
          <w:rFonts w:asciiTheme="majorHAnsi" w:eastAsia="Times New Roman" w:hAnsiTheme="majorHAnsi" w:cstheme="majorHAnsi"/>
          <w:color w:val="000000"/>
        </w:rPr>
        <w:t xml:space="preserve"> </w:t>
      </w:r>
      <w:r w:rsidR="00B31849">
        <w:rPr>
          <w:rFonts w:asciiTheme="majorHAnsi" w:eastAsia="Times New Roman" w:hAnsiTheme="majorHAnsi" w:cstheme="majorHAnsi"/>
          <w:color w:val="000000"/>
        </w:rPr>
        <w:t xml:space="preserve">and planned measurement and modeling capabilities, and </w:t>
      </w:r>
      <w:r w:rsidR="008209D6">
        <w:rPr>
          <w:rFonts w:asciiTheme="majorHAnsi" w:eastAsia="Times New Roman" w:hAnsiTheme="majorHAnsi" w:cstheme="majorHAnsi"/>
          <w:color w:val="000000"/>
        </w:rPr>
        <w:t xml:space="preserve">proposing </w:t>
      </w:r>
      <w:r w:rsidR="00B31849">
        <w:rPr>
          <w:rFonts w:asciiTheme="majorHAnsi" w:eastAsia="Times New Roman" w:hAnsiTheme="majorHAnsi" w:cstheme="majorHAnsi"/>
          <w:color w:val="000000"/>
        </w:rPr>
        <w:t xml:space="preserve">a constellation implementation </w:t>
      </w:r>
      <w:r w:rsidR="008209D6">
        <w:rPr>
          <w:rFonts w:asciiTheme="majorHAnsi" w:eastAsia="Times New Roman" w:hAnsiTheme="majorHAnsi" w:cstheme="majorHAnsi"/>
          <w:color w:val="000000"/>
        </w:rPr>
        <w:t>architecture and the 3-step implementation plan described in section 1</w:t>
      </w:r>
      <w:r w:rsidR="00B31849">
        <w:rPr>
          <w:rFonts w:asciiTheme="majorHAnsi" w:eastAsia="Times New Roman" w:hAnsiTheme="majorHAnsi" w:cstheme="majorHAnsi"/>
          <w:color w:val="000000"/>
        </w:rPr>
        <w:t xml:space="preserve">. The final chapter of this section proposes </w:t>
      </w:r>
      <w:proofErr w:type="gramStart"/>
      <w:r w:rsidR="008209D6">
        <w:rPr>
          <w:rFonts w:asciiTheme="majorHAnsi" w:eastAsia="Times New Roman" w:hAnsiTheme="majorHAnsi" w:cstheme="majorHAnsi"/>
          <w:color w:val="000000"/>
        </w:rPr>
        <w:t>way</w:t>
      </w:r>
      <w:proofErr w:type="gramEnd"/>
      <w:r w:rsidR="008209D6">
        <w:rPr>
          <w:rFonts w:asciiTheme="majorHAnsi" w:eastAsia="Times New Roman" w:hAnsiTheme="majorHAnsi" w:cstheme="majorHAnsi"/>
          <w:color w:val="000000"/>
        </w:rPr>
        <w:t xml:space="preserve"> forward, consisting of </w:t>
      </w:r>
      <w:r w:rsidR="00B31849">
        <w:rPr>
          <w:rFonts w:asciiTheme="majorHAnsi" w:eastAsia="Times New Roman" w:hAnsiTheme="majorHAnsi" w:cstheme="majorHAnsi"/>
          <w:color w:val="000000"/>
        </w:rPr>
        <w:t xml:space="preserve">a series of specific actions. </w:t>
      </w:r>
      <w:r w:rsidR="008209D6">
        <w:rPr>
          <w:rFonts w:asciiTheme="majorHAnsi" w:eastAsia="Times New Roman" w:hAnsiTheme="majorHAnsi" w:cstheme="majorHAnsi"/>
          <w:color w:val="000000"/>
        </w:rPr>
        <w:t xml:space="preserve">These actions and the proposed implementation approach </w:t>
      </w:r>
      <w:proofErr w:type="gramStart"/>
      <w:r w:rsidR="008209D6">
        <w:rPr>
          <w:rFonts w:asciiTheme="majorHAnsi" w:eastAsia="Times New Roman" w:hAnsiTheme="majorHAnsi" w:cstheme="majorHAnsi"/>
          <w:color w:val="000000"/>
        </w:rPr>
        <w:t>are summarized</w:t>
      </w:r>
      <w:proofErr w:type="gramEnd"/>
      <w:r w:rsidR="008209D6">
        <w:rPr>
          <w:rFonts w:asciiTheme="majorHAnsi" w:eastAsia="Times New Roman" w:hAnsiTheme="majorHAnsi" w:cstheme="majorHAnsi"/>
          <w:color w:val="000000"/>
        </w:rPr>
        <w:t xml:space="preserve"> below</w:t>
      </w:r>
      <w:r w:rsidR="008405FC">
        <w:rPr>
          <w:rFonts w:asciiTheme="majorHAnsi" w:eastAsia="Times New Roman" w:hAnsiTheme="majorHAnsi" w:cstheme="majorHAnsi"/>
          <w:color w:val="000000"/>
        </w:rPr>
        <w:t xml:space="preserve"> in the following section</w:t>
      </w:r>
      <w:r w:rsidR="00287EB0" w:rsidRPr="00021292">
        <w:rPr>
          <w:rFonts w:asciiTheme="majorHAnsi" w:eastAsia="Times New Roman" w:hAnsiTheme="majorHAnsi" w:cstheme="majorHAnsi"/>
          <w:color w:val="000000"/>
        </w:rPr>
        <w:t xml:space="preserve">.  </w:t>
      </w:r>
    </w:p>
    <w:p w14:paraId="45C430E2" w14:textId="03F57353" w:rsidR="00330A6B" w:rsidRPr="001F5D6D" w:rsidRDefault="0049670B">
      <w:pPr>
        <w:pStyle w:val="Heading1"/>
      </w:pPr>
      <w:bookmarkStart w:id="4" w:name="_Toc21714988"/>
      <w:r>
        <w:lastRenderedPageBreak/>
        <w:t xml:space="preserve">Roadmap Objectives and </w:t>
      </w:r>
      <w:r w:rsidR="00287EB0" w:rsidRPr="001F5D6D">
        <w:t>Approach</w:t>
      </w:r>
      <w:bookmarkEnd w:id="4"/>
    </w:p>
    <w:p w14:paraId="12943954" w14:textId="68462DF7" w:rsidR="001F5D6D" w:rsidRDefault="008209D6" w:rsidP="00D60E7D">
      <w:pPr>
        <w:pBdr>
          <w:top w:val="nil"/>
          <w:left w:val="nil"/>
          <w:bottom w:val="nil"/>
          <w:right w:val="nil"/>
          <w:between w:val="nil"/>
        </w:pBdr>
        <w:spacing w:before="120" w:after="0"/>
        <w:rPr>
          <w:color w:val="262626"/>
        </w:rPr>
      </w:pPr>
      <w:r>
        <w:rPr>
          <w:color w:val="262626"/>
        </w:rPr>
        <w:t xml:space="preserve">To </w:t>
      </w:r>
      <w:r w:rsidR="00DE11D1">
        <w:rPr>
          <w:color w:val="262626"/>
        </w:rPr>
        <w:t>produce</w:t>
      </w:r>
      <w:r w:rsidR="00A350A8">
        <w:rPr>
          <w:color w:val="262626"/>
        </w:rPr>
        <w:t xml:space="preserve"> space-based atmospheric </w:t>
      </w:r>
      <w:r w:rsidR="00A350A8" w:rsidRPr="00A350A8">
        <w:rPr>
          <w:color w:val="262626"/>
        </w:rPr>
        <w:t>CO</w:t>
      </w:r>
      <w:r w:rsidR="00A350A8" w:rsidRPr="00A350A8">
        <w:rPr>
          <w:color w:val="262626"/>
          <w:vertAlign w:val="subscript"/>
        </w:rPr>
        <w:t>2</w:t>
      </w:r>
      <w:r w:rsidR="00A350A8">
        <w:rPr>
          <w:color w:val="262626"/>
        </w:rPr>
        <w:t xml:space="preserve"> and </w:t>
      </w:r>
      <w:r w:rsidR="00A350A8" w:rsidRPr="00A350A8">
        <w:rPr>
          <w:rFonts w:cs="Times New Roman"/>
          <w:color w:val="262626"/>
        </w:rPr>
        <w:t>CH</w:t>
      </w:r>
      <w:r w:rsidR="00A350A8" w:rsidRPr="00A350A8">
        <w:rPr>
          <w:rFonts w:cs="Times New Roman"/>
          <w:color w:val="262626"/>
          <w:vertAlign w:val="subscript"/>
        </w:rPr>
        <w:t>4</w:t>
      </w:r>
      <w:r w:rsidR="00A350A8">
        <w:rPr>
          <w:color w:val="262626"/>
        </w:rPr>
        <w:t xml:space="preserve"> </w:t>
      </w:r>
      <w:r w:rsidR="0040568B">
        <w:rPr>
          <w:color w:val="262626"/>
        </w:rPr>
        <w:t>inventories</w:t>
      </w:r>
      <w:r w:rsidR="00A350A8">
        <w:rPr>
          <w:color w:val="262626"/>
        </w:rPr>
        <w:t xml:space="preserve"> that meet the</w:t>
      </w:r>
      <w:r>
        <w:rPr>
          <w:color w:val="262626"/>
        </w:rPr>
        <w:t xml:space="preserve"> goals</w:t>
      </w:r>
      <w:r w:rsidR="00A350A8">
        <w:rPr>
          <w:color w:val="262626"/>
        </w:rPr>
        <w:t xml:space="preserve"> described above</w:t>
      </w:r>
      <w:r>
        <w:rPr>
          <w:color w:val="262626"/>
        </w:rPr>
        <w:t>, the CEOS AC-VC GHG Whitepaper</w:t>
      </w:r>
      <w:r w:rsidR="00A350A8">
        <w:rPr>
          <w:color w:val="262626"/>
        </w:rPr>
        <w:t xml:space="preserve"> proposes</w:t>
      </w:r>
      <w:r>
        <w:rPr>
          <w:color w:val="262626"/>
        </w:rPr>
        <w:t xml:space="preserve"> </w:t>
      </w:r>
      <w:r w:rsidR="00EE503E">
        <w:rPr>
          <w:color w:val="262626"/>
        </w:rPr>
        <w:t xml:space="preserve">a series of </w:t>
      </w:r>
      <w:r w:rsidR="00A350A8">
        <w:rPr>
          <w:color w:val="262626"/>
        </w:rPr>
        <w:t xml:space="preserve">specific </w:t>
      </w:r>
      <w:r w:rsidR="00EE503E">
        <w:rPr>
          <w:color w:val="262626"/>
        </w:rPr>
        <w:t>actions</w:t>
      </w:r>
      <w:r w:rsidR="00670988">
        <w:rPr>
          <w:color w:val="262626"/>
        </w:rPr>
        <w:t xml:space="preserve"> for CEOS and its member agencies</w:t>
      </w:r>
      <w:r w:rsidR="00EE503E">
        <w:rPr>
          <w:color w:val="262626"/>
        </w:rPr>
        <w:t xml:space="preserve">. Here, </w:t>
      </w:r>
      <w:r w:rsidR="00670988">
        <w:rPr>
          <w:color w:val="262626"/>
        </w:rPr>
        <w:t xml:space="preserve">specific </w:t>
      </w:r>
      <w:r w:rsidR="0066706F">
        <w:rPr>
          <w:color w:val="262626"/>
        </w:rPr>
        <w:t>recommendations</w:t>
      </w:r>
      <w:r w:rsidR="00EE503E">
        <w:rPr>
          <w:color w:val="262626"/>
        </w:rPr>
        <w:t xml:space="preserve"> </w:t>
      </w:r>
      <w:r w:rsidR="00670988">
        <w:rPr>
          <w:color w:val="262626"/>
        </w:rPr>
        <w:t xml:space="preserve">mentioned in the </w:t>
      </w:r>
      <w:r w:rsidR="00D67F31">
        <w:rPr>
          <w:color w:val="262626"/>
        </w:rPr>
        <w:t>Whitepaper</w:t>
      </w:r>
      <w:r w:rsidR="00670988">
        <w:rPr>
          <w:color w:val="262626"/>
        </w:rPr>
        <w:t xml:space="preserve"> and collected</w:t>
      </w:r>
      <w:r w:rsidR="0066706F">
        <w:rPr>
          <w:color w:val="262626"/>
        </w:rPr>
        <w:t xml:space="preserve"> in</w:t>
      </w:r>
      <w:r w:rsidR="00670988">
        <w:rPr>
          <w:color w:val="262626"/>
        </w:rPr>
        <w:t xml:space="preserve"> the </w:t>
      </w:r>
      <w:r w:rsidR="00670988">
        <w:rPr>
          <w:color w:val="262626"/>
        </w:rPr>
        <w:br/>
      </w:r>
      <w:r w:rsidR="00D67F31">
        <w:rPr>
          <w:color w:val="262626"/>
        </w:rPr>
        <w:t>“</w:t>
      </w:r>
      <w:r w:rsidR="00670988">
        <w:rPr>
          <w:color w:val="262626"/>
        </w:rPr>
        <w:t xml:space="preserve">Way Forward” chapter </w:t>
      </w:r>
      <w:proofErr w:type="gramStart"/>
      <w:r w:rsidR="00EE503E">
        <w:rPr>
          <w:color w:val="262626"/>
        </w:rPr>
        <w:t>have been summarized and grouped under the three high-level goals that they support</w:t>
      </w:r>
      <w:proofErr w:type="gramEnd"/>
      <w:r w:rsidR="00EE503E">
        <w:rPr>
          <w:color w:val="262626"/>
        </w:rPr>
        <w:t>.</w:t>
      </w:r>
      <w:r w:rsidR="00021A2D">
        <w:rPr>
          <w:color w:val="262626"/>
        </w:rPr>
        <w:t xml:space="preserve"> The final subsection summarizes the approach adopted address these recommendations.</w:t>
      </w:r>
    </w:p>
    <w:p w14:paraId="5B67FC38" w14:textId="77777777" w:rsidR="00021A2D" w:rsidRDefault="00021A2D" w:rsidP="00D60E7D">
      <w:pPr>
        <w:pBdr>
          <w:top w:val="nil"/>
          <w:left w:val="nil"/>
          <w:bottom w:val="nil"/>
          <w:right w:val="nil"/>
          <w:between w:val="nil"/>
        </w:pBdr>
        <w:spacing w:before="120" w:after="0"/>
        <w:rPr>
          <w:color w:val="262626"/>
        </w:rPr>
      </w:pPr>
    </w:p>
    <w:p w14:paraId="3F43CCBB" w14:textId="77777777" w:rsidR="00021A2D" w:rsidRPr="00021292" w:rsidRDefault="00550ADB" w:rsidP="00622A67">
      <w:pPr>
        <w:pStyle w:val="Heading2"/>
        <w:rPr>
          <w:color w:val="262626"/>
        </w:rPr>
      </w:pPr>
      <w:bookmarkStart w:id="5" w:name="_Toc21714989"/>
      <w:r w:rsidRPr="0049670B">
        <w:t>Refine Requirements:</w:t>
      </w:r>
      <w:bookmarkEnd w:id="5"/>
      <w:r w:rsidRPr="0049670B">
        <w:t xml:space="preserve"> </w:t>
      </w:r>
    </w:p>
    <w:p w14:paraId="2711FA5A" w14:textId="77777777" w:rsidR="00EE503E" w:rsidRDefault="00EE503E" w:rsidP="00021292">
      <w:pPr>
        <w:rPr>
          <w:color w:val="262626"/>
        </w:rPr>
      </w:pPr>
      <w:r w:rsidRPr="00021292">
        <w:rPr>
          <w:color w:val="262626"/>
        </w:rPr>
        <w:t>Link the atmospheric GHG measurement and modeling communities and stakeholders in the national inventory and policy communities (through UNFCCC/SBSTA), to refine requirements;</w:t>
      </w:r>
    </w:p>
    <w:p w14:paraId="77BE0F0E" w14:textId="77777777" w:rsidR="00096BCA" w:rsidRDefault="00096BCA" w:rsidP="00021292">
      <w:pPr>
        <w:rPr>
          <w:color w:val="262626"/>
        </w:rPr>
      </w:pPr>
      <w:r>
        <w:rPr>
          <w:color w:val="262626"/>
        </w:rPr>
        <w:t>To ensure that the space agencies are working together and building the necessary partnerships with the relevant stakeholders (i.e. UNFCCC/SBSTA) to address the overall system implementation goals, they should work through CEOS and CGMS to strengthen the ties to these stakeholders</w:t>
      </w:r>
      <w:r w:rsidR="00467E56">
        <w:rPr>
          <w:color w:val="262626"/>
        </w:rPr>
        <w:t xml:space="preserve"> (Rec#6)</w:t>
      </w:r>
      <w:r>
        <w:rPr>
          <w:color w:val="262626"/>
        </w:rPr>
        <w:t>.</w:t>
      </w:r>
    </w:p>
    <w:p w14:paraId="51548D69" w14:textId="77777777" w:rsidR="00AC47BF" w:rsidRDefault="00AC47BF" w:rsidP="00AC47BF">
      <w:pPr>
        <w:rPr>
          <w:color w:val="262626"/>
        </w:rPr>
      </w:pPr>
      <w:r>
        <w:rPr>
          <w:color w:val="262626"/>
        </w:rPr>
        <w:t>CEOS and CGMS have complementary viewpoints that are essential for advancing the implementation of system that incorporates both research and operational elements.</w:t>
      </w:r>
      <w:r w:rsidRPr="00780560">
        <w:rPr>
          <w:color w:val="262626"/>
        </w:rPr>
        <w:t xml:space="preserve"> </w:t>
      </w:r>
      <w:r>
        <w:rPr>
          <w:color w:val="262626"/>
        </w:rPr>
        <w:t xml:space="preserve">A continued engagement by both entities is required and some </w:t>
      </w:r>
      <w:proofErr w:type="spellStart"/>
      <w:r>
        <w:rPr>
          <w:color w:val="262626"/>
        </w:rPr>
        <w:t>formalisation</w:t>
      </w:r>
      <w:proofErr w:type="spellEnd"/>
      <w:r>
        <w:rPr>
          <w:color w:val="262626"/>
        </w:rPr>
        <w:t xml:space="preserve"> of the relationship would be advantageous. The joint CEOS/CGMS Working Group on Climate (</w:t>
      </w:r>
      <w:proofErr w:type="spellStart"/>
      <w:r>
        <w:rPr>
          <w:color w:val="262626"/>
        </w:rPr>
        <w:t>WGClimate</w:t>
      </w:r>
      <w:proofErr w:type="spellEnd"/>
      <w:r>
        <w:rPr>
          <w:color w:val="262626"/>
        </w:rPr>
        <w:t>) could lead this effort</w:t>
      </w:r>
      <w:r w:rsidR="00D52B7E">
        <w:rPr>
          <w:color w:val="262626"/>
        </w:rPr>
        <w:t xml:space="preserve"> (Rec#4)</w:t>
      </w:r>
      <w:r>
        <w:rPr>
          <w:color w:val="262626"/>
        </w:rPr>
        <w:t>.</w:t>
      </w:r>
    </w:p>
    <w:p w14:paraId="33C1E2C4" w14:textId="77777777" w:rsidR="00714858" w:rsidRDefault="00714858" w:rsidP="00714858">
      <w:pPr>
        <w:rPr>
          <w:color w:val="262626"/>
        </w:rPr>
      </w:pPr>
      <w:r>
        <w:rPr>
          <w:color w:val="262626"/>
        </w:rPr>
        <w:t>A broad system approach is required to develop a top-down atmospheric inventory approach that complements the bottom-up inventories. This system integrates the satellite observations, in situ (surface, aircraft, and balloon) measurements, modelling components (retrieval, inversion, biogeochemical processes and transport), prior information and ancillary data</w:t>
      </w:r>
      <w:r w:rsidR="00D52B7E">
        <w:rPr>
          <w:color w:val="262626"/>
        </w:rPr>
        <w:t xml:space="preserve"> (Rec#5)</w:t>
      </w:r>
      <w:r>
        <w:rPr>
          <w:color w:val="262626"/>
        </w:rPr>
        <w:t>.</w:t>
      </w:r>
    </w:p>
    <w:p w14:paraId="30254914" w14:textId="77777777" w:rsidR="00AC47BF" w:rsidRDefault="00AC47BF" w:rsidP="00AC47BF">
      <w:pPr>
        <w:rPr>
          <w:color w:val="262626"/>
        </w:rPr>
      </w:pPr>
      <w:r>
        <w:rPr>
          <w:color w:val="262626"/>
        </w:rPr>
        <w:t xml:space="preserve">The Whitepaper adopts the GCOS (2016) accuracy, resolution and coverage requirements </w:t>
      </w:r>
      <w:r w:rsidRPr="00162B0E">
        <w:rPr>
          <w:color w:val="262626"/>
        </w:rPr>
        <w:t>as the baseline</w:t>
      </w:r>
      <w:r>
        <w:rPr>
          <w:color w:val="262626"/>
        </w:rPr>
        <w:t xml:space="preserve"> requirements</w:t>
      </w:r>
      <w:r w:rsidRPr="00162B0E">
        <w:rPr>
          <w:color w:val="262626"/>
        </w:rPr>
        <w:t xml:space="preserve"> </w:t>
      </w:r>
      <w:r w:rsidR="00714858">
        <w:rPr>
          <w:color w:val="262626"/>
        </w:rPr>
        <w:t xml:space="preserve">for the space-based elements of </w:t>
      </w:r>
      <w:r w:rsidRPr="006C6610">
        <w:rPr>
          <w:color w:val="262626"/>
        </w:rPr>
        <w:t>CO</w:t>
      </w:r>
      <w:r w:rsidRPr="006C6610">
        <w:rPr>
          <w:color w:val="262626"/>
          <w:vertAlign w:val="subscript"/>
        </w:rPr>
        <w:t>2</w:t>
      </w:r>
      <w:r w:rsidRPr="00162B0E">
        <w:rPr>
          <w:color w:val="262626"/>
        </w:rPr>
        <w:t>/</w:t>
      </w:r>
      <w:r w:rsidRPr="006C6610">
        <w:rPr>
          <w:rFonts w:cs="Times New Roman"/>
          <w:color w:val="262626"/>
        </w:rPr>
        <w:t>CH</w:t>
      </w:r>
      <w:r w:rsidRPr="006C6610">
        <w:rPr>
          <w:rFonts w:cs="Times New Roman"/>
          <w:color w:val="262626"/>
          <w:vertAlign w:val="subscript"/>
        </w:rPr>
        <w:t>4</w:t>
      </w:r>
      <w:r w:rsidR="00714858">
        <w:rPr>
          <w:color w:val="262626"/>
        </w:rPr>
        <w:t xml:space="preserve"> management system</w:t>
      </w:r>
      <w:r w:rsidRPr="00162B0E">
        <w:rPr>
          <w:color w:val="262626"/>
        </w:rPr>
        <w:t>. However, these requiremen</w:t>
      </w:r>
      <w:r>
        <w:rPr>
          <w:color w:val="262626"/>
        </w:rPr>
        <w:t>ts predated the Paris Agreement</w:t>
      </w:r>
      <w:r w:rsidRPr="00162B0E">
        <w:rPr>
          <w:color w:val="262626"/>
        </w:rPr>
        <w:t xml:space="preserve">. Further analysis </w:t>
      </w:r>
      <w:r>
        <w:rPr>
          <w:color w:val="262626"/>
        </w:rPr>
        <w:t>of these requirements</w:t>
      </w:r>
      <w:r w:rsidRPr="00162B0E">
        <w:rPr>
          <w:color w:val="262626"/>
        </w:rPr>
        <w:t xml:space="preserve"> </w:t>
      </w:r>
      <w:proofErr w:type="gramStart"/>
      <w:r>
        <w:rPr>
          <w:color w:val="262626"/>
        </w:rPr>
        <w:t>is</w:t>
      </w:r>
      <w:r w:rsidRPr="00162B0E">
        <w:rPr>
          <w:color w:val="262626"/>
        </w:rPr>
        <w:t xml:space="preserve"> needed</w:t>
      </w:r>
      <w:proofErr w:type="gramEnd"/>
      <w:r w:rsidRPr="00162B0E">
        <w:rPr>
          <w:color w:val="262626"/>
        </w:rPr>
        <w:t xml:space="preserve"> to address this new focus. The CEOS and CGMS agencies should work with GCOS and other partner organizations and stakeholders to </w:t>
      </w:r>
      <w:r>
        <w:rPr>
          <w:color w:val="262626"/>
        </w:rPr>
        <w:t>revise</w:t>
      </w:r>
      <w:r w:rsidRPr="00162B0E">
        <w:rPr>
          <w:color w:val="262626"/>
        </w:rPr>
        <w:t xml:space="preserve"> those requirements</w:t>
      </w:r>
      <w:r w:rsidR="00467E56">
        <w:rPr>
          <w:color w:val="262626"/>
        </w:rPr>
        <w:t xml:space="preserve"> (Rec#7)</w:t>
      </w:r>
      <w:r w:rsidRPr="00162B0E">
        <w:rPr>
          <w:color w:val="262626"/>
        </w:rPr>
        <w:t>.</w:t>
      </w:r>
    </w:p>
    <w:p w14:paraId="21714FDF" w14:textId="46FF7A53" w:rsidR="00714858" w:rsidRDefault="00714858" w:rsidP="00714858">
      <w:pPr>
        <w:rPr>
          <w:color w:val="262626"/>
        </w:rPr>
      </w:pPr>
      <w:r>
        <w:rPr>
          <w:color w:val="262626"/>
        </w:rPr>
        <w:t>To meet these goals within a decade, individual research and operational space agencies work within CEOS, CGMS and other international coordination bodies (i.e. WMO IG</w:t>
      </w:r>
      <w:r w:rsidRPr="00890B40">
        <w:rPr>
          <w:color w:val="262626"/>
          <w:vertAlign w:val="superscript"/>
        </w:rPr>
        <w:t>3</w:t>
      </w:r>
      <w:r>
        <w:rPr>
          <w:color w:val="262626"/>
        </w:rPr>
        <w:t xml:space="preserve">IS, GCOS) to define a roadmap with specific programmatic milestones for developing virtual and then dedicated constellations that can deliver harmonized, space-based climate data records for </w:t>
      </w:r>
      <w:r w:rsidRPr="007035CB">
        <w:rPr>
          <w:color w:val="262626"/>
        </w:rPr>
        <w:t>CO</w:t>
      </w:r>
      <w:r w:rsidRPr="00467E56">
        <w:rPr>
          <w:color w:val="262626"/>
          <w:vertAlign w:val="subscript"/>
        </w:rPr>
        <w:t>2</w:t>
      </w:r>
      <w:r>
        <w:rPr>
          <w:color w:val="262626"/>
        </w:rPr>
        <w:t xml:space="preserve"> and </w:t>
      </w:r>
      <w:r w:rsidR="00D52B7E" w:rsidRPr="00D52B7E">
        <w:rPr>
          <w:rFonts w:cs="Times New Roman"/>
          <w:color w:val="262626"/>
        </w:rPr>
        <w:t>CH</w:t>
      </w:r>
      <w:r w:rsidR="00D52B7E" w:rsidRPr="00D52B7E">
        <w:rPr>
          <w:rFonts w:cs="Times New Roman"/>
          <w:color w:val="262626"/>
          <w:vertAlign w:val="subscript"/>
        </w:rPr>
        <w:t>4</w:t>
      </w:r>
      <w:r w:rsidR="00D52B7E">
        <w:rPr>
          <w:color w:val="262626"/>
        </w:rPr>
        <w:t xml:space="preserve"> (Rec#3)</w:t>
      </w:r>
      <w:r>
        <w:rPr>
          <w:color w:val="262626"/>
        </w:rPr>
        <w:t>.</w:t>
      </w:r>
    </w:p>
    <w:p w14:paraId="1311DC0E" w14:textId="77777777" w:rsidR="006C6610" w:rsidRDefault="006C6610" w:rsidP="00021292">
      <w:pPr>
        <w:rPr>
          <w:color w:val="262626"/>
        </w:rPr>
      </w:pPr>
      <w:r>
        <w:rPr>
          <w:color w:val="262626"/>
        </w:rPr>
        <w:t xml:space="preserve">To ensure that the initial operational constellation and associated atmospheric </w:t>
      </w:r>
      <w:r w:rsidR="00021292" w:rsidRPr="00021292">
        <w:rPr>
          <w:color w:val="262626"/>
        </w:rPr>
        <w:t>CO</w:t>
      </w:r>
      <w:r w:rsidR="00021292" w:rsidRPr="00021292">
        <w:rPr>
          <w:color w:val="262626"/>
          <w:vertAlign w:val="subscript"/>
        </w:rPr>
        <w:t>2</w:t>
      </w:r>
      <w:r>
        <w:rPr>
          <w:color w:val="262626"/>
        </w:rPr>
        <w:t xml:space="preserve"> and </w:t>
      </w:r>
      <w:r w:rsidR="00021292" w:rsidRPr="00021292">
        <w:rPr>
          <w:rFonts w:cs="Times New Roman"/>
          <w:color w:val="262626"/>
        </w:rPr>
        <w:t>CH</w:t>
      </w:r>
      <w:r w:rsidR="00021292" w:rsidRPr="00021292">
        <w:rPr>
          <w:rFonts w:cs="Times New Roman"/>
          <w:color w:val="262626"/>
          <w:vertAlign w:val="subscript"/>
        </w:rPr>
        <w:t>4</w:t>
      </w:r>
      <w:r>
        <w:rPr>
          <w:color w:val="262626"/>
        </w:rPr>
        <w:t xml:space="preserve"> monitoring system can meet the sustained operational needs, a system engineering effort </w:t>
      </w:r>
      <w:proofErr w:type="gramStart"/>
      <w:r>
        <w:rPr>
          <w:color w:val="262626"/>
        </w:rPr>
        <w:t>should be undertaken</w:t>
      </w:r>
      <w:proofErr w:type="gramEnd"/>
      <w:r>
        <w:rPr>
          <w:color w:val="262626"/>
        </w:rPr>
        <w:t xml:space="preserve"> early in the implementation. This effort is needed to ensure that the requirement-reliability-traceability-fitness-for-purpose cycle is adequately planned and that the user uptake, user </w:t>
      </w:r>
      <w:proofErr w:type="gramStart"/>
      <w:r>
        <w:rPr>
          <w:color w:val="262626"/>
        </w:rPr>
        <w:t>support and training</w:t>
      </w:r>
      <w:proofErr w:type="gramEnd"/>
      <w:r>
        <w:rPr>
          <w:color w:val="262626"/>
        </w:rPr>
        <w:t xml:space="preserve"> and capability building elements are defined and prototyped. The CEOS and CGMS agencies and their partners at WMO have the necessary competences to start addressing these requirements and can help to assess the scope of these activities at the different levels of the implementation</w:t>
      </w:r>
      <w:r w:rsidR="00467E56">
        <w:rPr>
          <w:color w:val="262626"/>
        </w:rPr>
        <w:t xml:space="preserve"> (Rec#16)</w:t>
      </w:r>
      <w:r>
        <w:rPr>
          <w:color w:val="262626"/>
        </w:rPr>
        <w:t>.</w:t>
      </w:r>
    </w:p>
    <w:p w14:paraId="2F33C7D9" w14:textId="77777777" w:rsidR="00670988" w:rsidRDefault="00670988" w:rsidP="00670988">
      <w:pPr>
        <w:rPr>
          <w:color w:val="262626"/>
        </w:rPr>
      </w:pPr>
      <w:r w:rsidRPr="00162B0E">
        <w:rPr>
          <w:color w:val="262626"/>
        </w:rPr>
        <w:t xml:space="preserve">CEOS, CGMS and their partners should continue to support </w:t>
      </w:r>
      <w:r>
        <w:rPr>
          <w:color w:val="262626"/>
        </w:rPr>
        <w:t>the necessary OSSE experiments to refine</w:t>
      </w:r>
      <w:r w:rsidRPr="00162B0E">
        <w:rPr>
          <w:color w:val="262626"/>
        </w:rPr>
        <w:t xml:space="preserve"> the detailed requirements of the space-based elements of the constellation (sensor precision, accuracy, and resolution, orbit and mission coordination). The near-term objective is to develop a prioritized list of the required OSSE experiments and end-to-end system simulations to optimize the overall system design, resolve system-level uncertainties, and facilitate the coordination of activities </w:t>
      </w:r>
      <w:r w:rsidRPr="00162B0E">
        <w:rPr>
          <w:color w:val="262626"/>
        </w:rPr>
        <w:lastRenderedPageBreak/>
        <w:t>among the CEOS and CGMS agencies. The output from these experiments should be made available to the CEOS and CGMS Principals periodically, in a format conducive to discussions with their mission and orbit planning organizations</w:t>
      </w:r>
      <w:r w:rsidR="00467E56">
        <w:rPr>
          <w:color w:val="262626"/>
        </w:rPr>
        <w:t xml:space="preserve"> (Rec#8)</w:t>
      </w:r>
      <w:r w:rsidRPr="00162B0E">
        <w:rPr>
          <w:color w:val="262626"/>
        </w:rPr>
        <w:t>.</w:t>
      </w:r>
    </w:p>
    <w:p w14:paraId="7086A399" w14:textId="77777777" w:rsidR="00162B0E" w:rsidRDefault="00162B0E" w:rsidP="00780560">
      <w:pPr>
        <w:pBdr>
          <w:top w:val="nil"/>
          <w:left w:val="nil"/>
          <w:bottom w:val="nil"/>
          <w:right w:val="nil"/>
          <w:between w:val="nil"/>
        </w:pBdr>
        <w:spacing w:after="0"/>
        <w:rPr>
          <w:color w:val="262626"/>
        </w:rPr>
      </w:pPr>
    </w:p>
    <w:p w14:paraId="783F27A1" w14:textId="63A6AF50" w:rsidR="00550ADB" w:rsidRDefault="00550ADB" w:rsidP="00021292">
      <w:pPr>
        <w:pStyle w:val="Heading2"/>
      </w:pPr>
      <w:bookmarkStart w:id="6" w:name="_Toc21714990"/>
      <w:r>
        <w:t xml:space="preserve">Develop </w:t>
      </w:r>
      <w:r w:rsidR="00986464">
        <w:t xml:space="preserve">a </w:t>
      </w:r>
      <w:r>
        <w:t xml:space="preserve">Prototype </w:t>
      </w:r>
      <w:r w:rsidR="00986464">
        <w:t>System</w:t>
      </w:r>
      <w:r>
        <w:t xml:space="preserve"> to Support the 2023 </w:t>
      </w:r>
      <w:proofErr w:type="spellStart"/>
      <w:r>
        <w:t>Stocktake</w:t>
      </w:r>
      <w:bookmarkEnd w:id="6"/>
      <w:proofErr w:type="spellEnd"/>
      <w:r w:rsidR="00D52B7E">
        <w:t xml:space="preserve"> </w:t>
      </w:r>
      <w:r w:rsidR="00D52B7E">
        <w:rPr>
          <w:color w:val="262626"/>
        </w:rPr>
        <w:t xml:space="preserve"> </w:t>
      </w:r>
    </w:p>
    <w:p w14:paraId="29E03FDB" w14:textId="77777777" w:rsidR="0040568B" w:rsidRDefault="008E72D7" w:rsidP="00021292">
      <w:pPr>
        <w:rPr>
          <w:color w:val="262626"/>
        </w:rPr>
      </w:pPr>
      <w:proofErr w:type="gramStart"/>
      <w:r>
        <w:rPr>
          <w:rFonts w:cs="Times New Roman"/>
        </w:rPr>
        <w:t>Exploit the capabilities of the CEOS and CGMS member agencies</w:t>
      </w:r>
      <w:r w:rsidR="009C1F42">
        <w:rPr>
          <w:rFonts w:cs="Times New Roman"/>
        </w:rPr>
        <w:t xml:space="preserve"> and the WMO </w:t>
      </w:r>
      <w:r w:rsidRPr="000B3942">
        <w:rPr>
          <w:rFonts w:cs="Times New Roman"/>
        </w:rPr>
        <w:t>IG</w:t>
      </w:r>
      <w:r w:rsidRPr="000B3942">
        <w:rPr>
          <w:rFonts w:cs="Times New Roman"/>
          <w:vertAlign w:val="superscript"/>
        </w:rPr>
        <w:t>3</w:t>
      </w:r>
      <w:r w:rsidR="009C1F42">
        <w:rPr>
          <w:rFonts w:cs="Times New Roman"/>
        </w:rPr>
        <w:t>IS</w:t>
      </w:r>
      <w:r>
        <w:rPr>
          <w:rFonts w:cs="Times New Roman"/>
        </w:rPr>
        <w:t xml:space="preserve"> to i</w:t>
      </w:r>
      <w:r w:rsidRPr="00A92AB0">
        <w:rPr>
          <w:rFonts w:cs="Times New Roman"/>
        </w:rPr>
        <w:t xml:space="preserve">ntegrate </w:t>
      </w:r>
      <w:r>
        <w:rPr>
          <w:rFonts w:cs="Times New Roman"/>
        </w:rPr>
        <w:t xml:space="preserve">surface and airborne measurements of </w:t>
      </w:r>
      <w:r w:rsidRPr="00241729">
        <w:rPr>
          <w:rFonts w:cs="Times New Roman"/>
        </w:rPr>
        <w:t>CO</w:t>
      </w:r>
      <w:r w:rsidRPr="00241729">
        <w:rPr>
          <w:rFonts w:cs="Times New Roman"/>
          <w:vertAlign w:val="subscript"/>
        </w:rPr>
        <w:t>2</w:t>
      </w:r>
      <w:r>
        <w:rPr>
          <w:rFonts w:cs="Times New Roman"/>
        </w:rPr>
        <w:t xml:space="preserve"> and </w:t>
      </w:r>
      <w:r w:rsidRPr="00241729">
        <w:rPr>
          <w:rFonts w:cs="Times New Roman"/>
        </w:rPr>
        <w:t>CH</w:t>
      </w:r>
      <w:r w:rsidRPr="00241729">
        <w:rPr>
          <w:rFonts w:cs="Times New Roman"/>
          <w:vertAlign w:val="subscript"/>
        </w:rPr>
        <w:t>4</w:t>
      </w:r>
      <w:r>
        <w:rPr>
          <w:rFonts w:cs="Times New Roman"/>
        </w:rPr>
        <w:t xml:space="preserve"> with those from </w:t>
      </w:r>
      <w:r w:rsidRPr="00A92AB0">
        <w:rPr>
          <w:rFonts w:cs="Times New Roman"/>
        </w:rPr>
        <w:t xml:space="preserve">available </w:t>
      </w:r>
      <w:r>
        <w:rPr>
          <w:rFonts w:cs="Times New Roman"/>
        </w:rPr>
        <w:t xml:space="preserve">and planned space-based sensors to develop a </w:t>
      </w:r>
      <w:r w:rsidRPr="00A92AB0">
        <w:rPr>
          <w:rFonts w:cs="Times New Roman"/>
        </w:rPr>
        <w:t>prototype</w:t>
      </w:r>
      <w:r>
        <w:rPr>
          <w:rFonts w:cs="Times New Roman"/>
        </w:rPr>
        <w:t xml:space="preserve">, global </w:t>
      </w:r>
      <w:r w:rsidR="009C1F42">
        <w:rPr>
          <w:rFonts w:cs="Times New Roman"/>
        </w:rPr>
        <w:t xml:space="preserve">high resolution </w:t>
      </w:r>
      <w:r>
        <w:rPr>
          <w:rFonts w:cs="Times New Roman"/>
        </w:rPr>
        <w:t xml:space="preserve">atmospheric </w:t>
      </w:r>
      <w:r w:rsidRPr="000B3942">
        <w:rPr>
          <w:rFonts w:cs="Times New Roman"/>
        </w:rPr>
        <w:t>CO</w:t>
      </w:r>
      <w:r w:rsidRPr="000B3942">
        <w:rPr>
          <w:rFonts w:cs="Times New Roman"/>
          <w:vertAlign w:val="subscript"/>
        </w:rPr>
        <w:t>2</w:t>
      </w:r>
      <w:r>
        <w:rPr>
          <w:rFonts w:cs="Times New Roman"/>
        </w:rPr>
        <w:t xml:space="preserve"> and </w:t>
      </w:r>
      <w:r w:rsidRPr="000B3942">
        <w:rPr>
          <w:rFonts w:cs="Times New Roman"/>
        </w:rPr>
        <w:t>CH</w:t>
      </w:r>
      <w:r w:rsidRPr="000B3942">
        <w:rPr>
          <w:rFonts w:cs="Times New Roman"/>
          <w:vertAlign w:val="subscript"/>
        </w:rPr>
        <w:t>4</w:t>
      </w:r>
      <w:r>
        <w:rPr>
          <w:rFonts w:cs="Times New Roman"/>
        </w:rPr>
        <w:t xml:space="preserve"> flux product</w:t>
      </w:r>
      <w:r w:rsidRPr="00241729">
        <w:rPr>
          <w:rFonts w:cs="Times New Roman"/>
        </w:rPr>
        <w:t xml:space="preserve"> </w:t>
      </w:r>
      <w:r>
        <w:rPr>
          <w:rFonts w:cs="Times New Roman"/>
        </w:rPr>
        <w:t xml:space="preserve">in time to support inventory builders in their development of GHG emission inventories for the </w:t>
      </w:r>
      <w:r w:rsidRPr="00A92AB0">
        <w:rPr>
          <w:rFonts w:cs="Times New Roman"/>
        </w:rPr>
        <w:t xml:space="preserve">2023 </w:t>
      </w:r>
      <w:r>
        <w:rPr>
          <w:rFonts w:cs="Times New Roman"/>
        </w:rPr>
        <w:t xml:space="preserve">global </w:t>
      </w:r>
      <w:proofErr w:type="spellStart"/>
      <w:r w:rsidRPr="00A92AB0">
        <w:rPr>
          <w:rFonts w:cs="Times New Roman"/>
        </w:rPr>
        <w:t>stocktake</w:t>
      </w:r>
      <w:proofErr w:type="spellEnd"/>
      <w:r w:rsidR="00986464">
        <w:rPr>
          <w:rFonts w:cs="Times New Roman"/>
        </w:rPr>
        <w:t xml:space="preserve"> (Rec#1)</w:t>
      </w:r>
      <w:r w:rsidR="00021A2D">
        <w:rPr>
          <w:color w:val="262626"/>
        </w:rPr>
        <w:t>.</w:t>
      </w:r>
      <w:proofErr w:type="gramEnd"/>
      <w:r w:rsidR="00021A2D">
        <w:rPr>
          <w:color w:val="262626"/>
        </w:rPr>
        <w:t xml:space="preserve"> </w:t>
      </w:r>
      <w:r w:rsidR="00780560" w:rsidRPr="00780560">
        <w:rPr>
          <w:color w:val="262626"/>
        </w:rPr>
        <w:t xml:space="preserve">To support this </w:t>
      </w:r>
      <w:proofErr w:type="spellStart"/>
      <w:r w:rsidR="00780560" w:rsidRPr="00780560">
        <w:rPr>
          <w:color w:val="262626"/>
        </w:rPr>
        <w:t>stocktake</w:t>
      </w:r>
      <w:proofErr w:type="spellEnd"/>
      <w:r w:rsidR="00780560" w:rsidRPr="00780560">
        <w:rPr>
          <w:color w:val="262626"/>
        </w:rPr>
        <w:t xml:space="preserve">, the initial global atmospheric </w:t>
      </w:r>
      <w:r w:rsidR="0016730D" w:rsidRPr="0016730D">
        <w:rPr>
          <w:color w:val="262626"/>
        </w:rPr>
        <w:t>CO</w:t>
      </w:r>
      <w:r w:rsidR="0016730D" w:rsidRPr="0016730D">
        <w:rPr>
          <w:color w:val="262626"/>
          <w:vertAlign w:val="subscript"/>
        </w:rPr>
        <w:t>2</w:t>
      </w:r>
      <w:r w:rsidR="00780560" w:rsidRPr="00780560">
        <w:rPr>
          <w:color w:val="262626"/>
        </w:rPr>
        <w:t xml:space="preserve"> and </w:t>
      </w:r>
      <w:r w:rsidR="0016730D" w:rsidRPr="0016730D">
        <w:rPr>
          <w:rFonts w:cs="Times New Roman"/>
          <w:color w:val="262626"/>
        </w:rPr>
        <w:t>CH</w:t>
      </w:r>
      <w:r w:rsidR="0016730D" w:rsidRPr="0016730D">
        <w:rPr>
          <w:rFonts w:cs="Times New Roman"/>
          <w:color w:val="262626"/>
          <w:vertAlign w:val="subscript"/>
        </w:rPr>
        <w:t>4</w:t>
      </w:r>
      <w:r w:rsidR="00780560" w:rsidRPr="00780560">
        <w:rPr>
          <w:color w:val="262626"/>
        </w:rPr>
        <w:t xml:space="preserve"> flux products must be available by 2021.</w:t>
      </w:r>
    </w:p>
    <w:p w14:paraId="1AFE6B7C" w14:textId="77777777" w:rsidR="00021A2D" w:rsidRPr="003C5E79" w:rsidRDefault="003D217B" w:rsidP="00622A67">
      <w:pPr>
        <w:pStyle w:val="ListParagraph"/>
        <w:numPr>
          <w:ilvl w:val="0"/>
          <w:numId w:val="56"/>
        </w:numPr>
        <w:rPr>
          <w:rFonts w:cstheme="majorHAnsi"/>
          <w:color w:val="262626"/>
        </w:rPr>
      </w:pPr>
      <w:r w:rsidRPr="003C5E79">
        <w:rPr>
          <w:rFonts w:cstheme="majorHAnsi"/>
          <w:lang w:val="en-GB"/>
        </w:rPr>
        <w:t>Identify and foster the methods needed to cross-calibrate and cross-validate products from a diverse range of space-based sensors and observational vantage points to produce harmonized, interoperable atmospheric CO</w:t>
      </w:r>
      <w:r w:rsidRPr="003C5E79">
        <w:rPr>
          <w:rFonts w:cstheme="majorHAnsi"/>
          <w:vertAlign w:val="subscript"/>
          <w:lang w:val="en-GB"/>
        </w:rPr>
        <w:t>2</w:t>
      </w:r>
      <w:r w:rsidRPr="003C5E79">
        <w:rPr>
          <w:rFonts w:cstheme="majorHAnsi"/>
          <w:lang w:val="en-GB"/>
        </w:rPr>
        <w:t xml:space="preserve"> and CH</w:t>
      </w:r>
      <w:r w:rsidRPr="003C5E79">
        <w:rPr>
          <w:rFonts w:cstheme="majorHAnsi"/>
          <w:vertAlign w:val="subscript"/>
          <w:lang w:val="en-GB"/>
        </w:rPr>
        <w:t>4</w:t>
      </w:r>
      <w:r w:rsidRPr="003C5E79">
        <w:rPr>
          <w:rFonts w:cstheme="majorHAnsi"/>
          <w:lang w:val="en-GB"/>
        </w:rPr>
        <w:t xml:space="preserve"> concentration products. A coordinated effort among the CEOS AC-VC, the CEOS Working Group on Calibration and Validation (WGCV) and the WMO Global Space-based Inter-Calibration System (GSICS) would facilitate this effort.</w:t>
      </w:r>
    </w:p>
    <w:p w14:paraId="2D6E2CFE" w14:textId="77777777" w:rsidR="003D217B" w:rsidRPr="003C5E79" w:rsidRDefault="003D217B" w:rsidP="00622A67">
      <w:pPr>
        <w:pStyle w:val="ListParagraph"/>
        <w:numPr>
          <w:ilvl w:val="0"/>
          <w:numId w:val="56"/>
        </w:numPr>
        <w:rPr>
          <w:rFonts w:cstheme="majorHAnsi"/>
          <w:color w:val="262626"/>
        </w:rPr>
      </w:pPr>
      <w:r w:rsidRPr="003C5E79">
        <w:rPr>
          <w:rFonts w:cstheme="majorHAnsi"/>
          <w:lang w:val="en-GB"/>
        </w:rPr>
        <w:t>Improved coordination among the atmospheric CO</w:t>
      </w:r>
      <w:r w:rsidRPr="003C5E79">
        <w:rPr>
          <w:rFonts w:cstheme="majorHAnsi"/>
          <w:vertAlign w:val="subscript"/>
          <w:lang w:val="en-GB"/>
        </w:rPr>
        <w:t>2</w:t>
      </w:r>
      <w:r w:rsidRPr="003C5E79">
        <w:rPr>
          <w:rFonts w:cstheme="majorHAnsi"/>
          <w:lang w:val="en-GB"/>
        </w:rPr>
        <w:t xml:space="preserve"> and CH</w:t>
      </w:r>
      <w:r w:rsidRPr="003C5E79">
        <w:rPr>
          <w:rFonts w:cstheme="majorHAnsi"/>
          <w:vertAlign w:val="subscript"/>
          <w:lang w:val="en-GB"/>
        </w:rPr>
        <w:t>4</w:t>
      </w:r>
      <w:r w:rsidRPr="003C5E79">
        <w:rPr>
          <w:rFonts w:cstheme="majorHAnsi"/>
          <w:lang w:val="en-GB"/>
        </w:rPr>
        <w:t xml:space="preserve"> remote sensing and flux inversion modelling communities </w:t>
      </w:r>
      <w:proofErr w:type="gramStart"/>
      <w:r w:rsidRPr="003C5E79">
        <w:rPr>
          <w:rFonts w:cstheme="majorHAnsi"/>
          <w:lang w:val="en-GB"/>
        </w:rPr>
        <w:t>is needed</w:t>
      </w:r>
      <w:proofErr w:type="gramEnd"/>
      <w:r w:rsidRPr="003C5E79">
        <w:rPr>
          <w:rFonts w:cstheme="majorHAnsi"/>
          <w:lang w:val="en-GB"/>
        </w:rPr>
        <w:t xml:space="preserve"> to produce a global atmospheric flux product by 2021, so that it can be used to support the 2023 stocktake. This ambitious goal will benefit from recent efforts such as the ESA Climate Change Initiative (CCI) and the NASA Carbon Monitoring System (CMS) and ongoing efforts such by the </w:t>
      </w:r>
      <w:r w:rsidRPr="003C5E79">
        <w:rPr>
          <w:rFonts w:cstheme="majorHAnsi"/>
        </w:rPr>
        <w:t>Copernicus Atmosphere Monitoring Service (CAMS)</w:t>
      </w:r>
      <w:r w:rsidRPr="003C5E79">
        <w:rPr>
          <w:rFonts w:cstheme="majorHAnsi"/>
          <w:lang w:val="en-GB"/>
        </w:rPr>
        <w:t>, and the European Horizon 2020 (H2020) CO</w:t>
      </w:r>
      <w:r w:rsidRPr="003C5E79">
        <w:rPr>
          <w:rFonts w:cstheme="majorHAnsi"/>
          <w:vertAlign w:val="subscript"/>
          <w:lang w:val="en-GB"/>
        </w:rPr>
        <w:t>2</w:t>
      </w:r>
      <w:r w:rsidRPr="003C5E79">
        <w:rPr>
          <w:rFonts w:cstheme="majorHAnsi"/>
          <w:lang w:val="en-GB"/>
        </w:rPr>
        <w:t xml:space="preserve"> Human Emission (CHE) and VERIFY projects to establish harmonised long-term satellite-based GHG Essential Climate Variables.</w:t>
      </w:r>
    </w:p>
    <w:p w14:paraId="76C0E7E8" w14:textId="77777777" w:rsidR="003D217B" w:rsidRPr="003C5E79" w:rsidRDefault="003D217B" w:rsidP="00622A67">
      <w:pPr>
        <w:pStyle w:val="ListParagraph"/>
        <w:numPr>
          <w:ilvl w:val="0"/>
          <w:numId w:val="56"/>
        </w:numPr>
        <w:rPr>
          <w:rFonts w:cstheme="majorHAnsi"/>
          <w:color w:val="262626"/>
        </w:rPr>
      </w:pPr>
      <w:r w:rsidRPr="003C5E79">
        <w:rPr>
          <w:rFonts w:cstheme="majorHAnsi"/>
          <w:lang w:val="en-GB"/>
        </w:rPr>
        <w:t>Develop a</w:t>
      </w:r>
      <w:r w:rsidR="003C5E79">
        <w:rPr>
          <w:rFonts w:cstheme="majorHAnsi"/>
          <w:lang w:val="en-GB"/>
        </w:rPr>
        <w:t>n atmospheric GHG inventory</w:t>
      </w:r>
      <w:r w:rsidRPr="003C5E79">
        <w:rPr>
          <w:rFonts w:cstheme="majorHAnsi"/>
          <w:lang w:val="en-GB"/>
        </w:rPr>
        <w:t xml:space="preserve"> product that will foster the active engagement of the atmospheric inventory community with the national inventory agencies in the development of 2023 stocktake.</w:t>
      </w:r>
    </w:p>
    <w:p w14:paraId="618DB51A" w14:textId="77777777" w:rsidR="003D217B" w:rsidRDefault="003C5E79" w:rsidP="00622A67">
      <w:pPr>
        <w:pStyle w:val="ListParagraph"/>
        <w:numPr>
          <w:ilvl w:val="0"/>
          <w:numId w:val="56"/>
        </w:numPr>
        <w:rPr>
          <w:rFonts w:asciiTheme="majorHAnsi" w:hAnsiTheme="majorHAnsi" w:cstheme="majorHAnsi"/>
          <w:color w:val="262626"/>
        </w:rPr>
      </w:pPr>
      <w:r>
        <w:rPr>
          <w:rFonts w:asciiTheme="majorHAnsi" w:hAnsiTheme="majorHAnsi" w:cstheme="majorHAnsi"/>
          <w:color w:val="262626"/>
        </w:rPr>
        <w:t>Establish</w:t>
      </w:r>
      <w:r w:rsidR="003D217B" w:rsidRPr="003D217B">
        <w:rPr>
          <w:rFonts w:asciiTheme="majorHAnsi" w:hAnsiTheme="majorHAnsi" w:cstheme="majorHAnsi"/>
          <w:color w:val="262626"/>
        </w:rPr>
        <w:t xml:space="preserve"> a baseline</w:t>
      </w:r>
      <w:r>
        <w:rPr>
          <w:rFonts w:asciiTheme="majorHAnsi" w:hAnsiTheme="majorHAnsi" w:cstheme="majorHAnsi"/>
          <w:color w:val="262626"/>
        </w:rPr>
        <w:t xml:space="preserve"> for use</w:t>
      </w:r>
      <w:r w:rsidR="003D217B" w:rsidRPr="003D217B">
        <w:rPr>
          <w:rFonts w:asciiTheme="majorHAnsi" w:hAnsiTheme="majorHAnsi" w:cstheme="majorHAnsi"/>
          <w:color w:val="262626"/>
        </w:rPr>
        <w:t xml:space="preserve"> in future comparisons of top-down atmospheric and bottom-up inventory products. </w:t>
      </w:r>
    </w:p>
    <w:p w14:paraId="1469902C" w14:textId="77777777" w:rsidR="003D217B" w:rsidRPr="00622A67" w:rsidRDefault="003D217B" w:rsidP="00622A67">
      <w:pPr>
        <w:pStyle w:val="ListParagraph"/>
        <w:numPr>
          <w:ilvl w:val="0"/>
          <w:numId w:val="56"/>
        </w:numPr>
        <w:rPr>
          <w:rFonts w:asciiTheme="majorHAnsi" w:hAnsiTheme="majorHAnsi" w:cstheme="majorHAnsi"/>
          <w:color w:val="262626"/>
        </w:rPr>
      </w:pPr>
      <w:r>
        <w:rPr>
          <w:rFonts w:asciiTheme="majorHAnsi" w:hAnsiTheme="majorHAnsi" w:cstheme="majorHAnsi"/>
          <w:color w:val="262626"/>
        </w:rPr>
        <w:t>F</w:t>
      </w:r>
      <w:r w:rsidRPr="003D217B">
        <w:rPr>
          <w:rFonts w:asciiTheme="majorHAnsi" w:hAnsiTheme="majorHAnsi" w:cstheme="majorHAnsi"/>
          <w:color w:val="262626"/>
        </w:rPr>
        <w:t xml:space="preserve">oster the development of end-to-end atmospheric data analysis systems designed to yield policy-relevant </w:t>
      </w:r>
      <w:r w:rsidR="003C5E79">
        <w:rPr>
          <w:rFonts w:asciiTheme="majorHAnsi" w:hAnsiTheme="majorHAnsi" w:cstheme="majorHAnsi"/>
          <w:color w:val="262626"/>
        </w:rPr>
        <w:t xml:space="preserve">atmospheric inventory </w:t>
      </w:r>
      <w:r w:rsidRPr="003D217B">
        <w:rPr>
          <w:rFonts w:asciiTheme="majorHAnsi" w:hAnsiTheme="majorHAnsi" w:cstheme="majorHAnsi"/>
          <w:color w:val="262626"/>
        </w:rPr>
        <w:t>products, like the one advocated by WMO IG</w:t>
      </w:r>
      <w:r w:rsidRPr="00622A67">
        <w:rPr>
          <w:rFonts w:asciiTheme="majorHAnsi" w:hAnsiTheme="majorHAnsi" w:cstheme="majorHAnsi"/>
          <w:color w:val="262626"/>
          <w:vertAlign w:val="superscript"/>
        </w:rPr>
        <w:t>3</w:t>
      </w:r>
      <w:r w:rsidRPr="003D217B">
        <w:rPr>
          <w:rFonts w:asciiTheme="majorHAnsi" w:hAnsiTheme="majorHAnsi" w:cstheme="majorHAnsi"/>
          <w:color w:val="262626"/>
        </w:rPr>
        <w:t>IS.</w:t>
      </w:r>
    </w:p>
    <w:p w14:paraId="30CCA6C7" w14:textId="77777777" w:rsidR="0016730D" w:rsidRDefault="0016730D" w:rsidP="00021292">
      <w:pPr>
        <w:rPr>
          <w:color w:val="262626"/>
        </w:rPr>
      </w:pPr>
    </w:p>
    <w:p w14:paraId="3626DC03" w14:textId="0CA08481" w:rsidR="00550ADB" w:rsidRDefault="00550ADB" w:rsidP="00021292">
      <w:pPr>
        <w:pStyle w:val="Heading2"/>
      </w:pPr>
      <w:bookmarkStart w:id="7" w:name="_Toc21714991"/>
      <w:r>
        <w:t xml:space="preserve">Implement an Operational </w:t>
      </w:r>
      <w:r w:rsidRPr="00550ADB">
        <w:t>CO</w:t>
      </w:r>
      <w:r w:rsidRPr="00550ADB">
        <w:rPr>
          <w:vertAlign w:val="subscript"/>
        </w:rPr>
        <w:t>2</w:t>
      </w:r>
      <w:r>
        <w:t>/</w:t>
      </w:r>
      <w:r w:rsidRPr="00550ADB">
        <w:rPr>
          <w:rFonts w:cs="Times New Roman"/>
        </w:rPr>
        <w:t>CH</w:t>
      </w:r>
      <w:r w:rsidRPr="00550ADB">
        <w:rPr>
          <w:rFonts w:cs="Times New Roman"/>
          <w:vertAlign w:val="subscript"/>
        </w:rPr>
        <w:t>4</w:t>
      </w:r>
      <w:r>
        <w:t xml:space="preserve"> Constellation to Support Future </w:t>
      </w:r>
      <w:proofErr w:type="spellStart"/>
      <w:r>
        <w:t>Stocktakes</w:t>
      </w:r>
      <w:bookmarkEnd w:id="7"/>
      <w:proofErr w:type="spellEnd"/>
      <w:r w:rsidR="00D52B7E">
        <w:t xml:space="preserve"> </w:t>
      </w:r>
    </w:p>
    <w:p w14:paraId="0BD33004" w14:textId="77777777" w:rsidR="00780560" w:rsidRDefault="001F5D6D" w:rsidP="00021292">
      <w:pPr>
        <w:rPr>
          <w:color w:val="262626"/>
        </w:rPr>
      </w:pPr>
      <w:r>
        <w:rPr>
          <w:color w:val="262626"/>
        </w:rPr>
        <w:t xml:space="preserve">The initial operational system should exploit the lessons learned from the development and use of the prototype product as well as new space-based measurement and modelling capabilities to produce space-based </w:t>
      </w:r>
      <w:r w:rsidR="00CD6C6F" w:rsidRPr="00CD6C6F">
        <w:rPr>
          <w:color w:val="262626"/>
        </w:rPr>
        <w:t>CO</w:t>
      </w:r>
      <w:r w:rsidR="00CD6C6F" w:rsidRPr="00CD6C6F">
        <w:rPr>
          <w:color w:val="262626"/>
          <w:vertAlign w:val="subscript"/>
        </w:rPr>
        <w:t>2</w:t>
      </w:r>
      <w:r>
        <w:rPr>
          <w:color w:val="262626"/>
        </w:rPr>
        <w:t xml:space="preserve"> and </w:t>
      </w:r>
      <w:r w:rsidR="00CD6C6F" w:rsidRPr="00CD6C6F">
        <w:rPr>
          <w:rFonts w:cs="Times New Roman"/>
          <w:color w:val="262626"/>
        </w:rPr>
        <w:t>CH</w:t>
      </w:r>
      <w:r w:rsidR="00CD6C6F" w:rsidRPr="00CD6C6F">
        <w:rPr>
          <w:rFonts w:cs="Times New Roman"/>
          <w:color w:val="262626"/>
          <w:vertAlign w:val="subscript"/>
        </w:rPr>
        <w:t>4</w:t>
      </w:r>
      <w:r>
        <w:rPr>
          <w:color w:val="262626"/>
        </w:rPr>
        <w:t xml:space="preserve"> flux products in time to support the second global </w:t>
      </w:r>
      <w:proofErr w:type="spellStart"/>
      <w:r>
        <w:rPr>
          <w:color w:val="262626"/>
        </w:rPr>
        <w:t>stocktake</w:t>
      </w:r>
      <w:proofErr w:type="spellEnd"/>
      <w:r>
        <w:rPr>
          <w:color w:val="262626"/>
        </w:rPr>
        <w:t xml:space="preserve"> in 2028</w:t>
      </w:r>
      <w:r w:rsidR="00D52B7E">
        <w:rPr>
          <w:color w:val="262626"/>
        </w:rPr>
        <w:t xml:space="preserve"> </w:t>
      </w:r>
      <w:r w:rsidR="00D52B7E">
        <w:t>(Rec#2)</w:t>
      </w:r>
      <w:r>
        <w:rPr>
          <w:color w:val="262626"/>
        </w:rPr>
        <w:t>.</w:t>
      </w:r>
    </w:p>
    <w:p w14:paraId="3FE5C386" w14:textId="050806AF" w:rsidR="00E52916" w:rsidRDefault="00E52916" w:rsidP="00E52916">
      <w:pPr>
        <w:rPr>
          <w:color w:val="262626"/>
        </w:rPr>
      </w:pPr>
      <w:r>
        <w:rPr>
          <w:color w:val="262626"/>
        </w:rPr>
        <w:t xml:space="preserve">The Whitepaper summarizes the lessons learned from the SCIAMACHY, GOSAT, and OCO-2 experiments. In the short-term, these lessons represent best practices that should be </w:t>
      </w:r>
      <w:proofErr w:type="spellStart"/>
      <w:r>
        <w:rPr>
          <w:color w:val="262626"/>
        </w:rPr>
        <w:t>generalised</w:t>
      </w:r>
      <w:proofErr w:type="spellEnd"/>
      <w:r>
        <w:rPr>
          <w:color w:val="262626"/>
        </w:rPr>
        <w:t xml:space="preserve"> by the CEOS Working Group on Calibration and Validation (WGCV) and the Global Space-based Inter</w:t>
      </w:r>
      <w:r w:rsidR="00FD59C9">
        <w:rPr>
          <w:color w:val="262626"/>
        </w:rPr>
        <w:t>-</w:t>
      </w:r>
      <w:r>
        <w:rPr>
          <w:color w:val="262626"/>
        </w:rPr>
        <w:t>calibration System (GSICS) so that they are available as Cal-Val strategy "protocols" for space agencies that are now considering missions</w:t>
      </w:r>
      <w:r w:rsidR="00467E56">
        <w:rPr>
          <w:color w:val="262626"/>
        </w:rPr>
        <w:t xml:space="preserve"> (Rec#9)</w:t>
      </w:r>
      <w:r>
        <w:rPr>
          <w:color w:val="262626"/>
        </w:rPr>
        <w:t>.</w:t>
      </w:r>
      <w:r w:rsidRPr="00670988">
        <w:rPr>
          <w:color w:val="262626"/>
        </w:rPr>
        <w:t xml:space="preserve"> </w:t>
      </w:r>
    </w:p>
    <w:p w14:paraId="6C8ABCC0" w14:textId="77777777" w:rsidR="00714858" w:rsidRPr="00021292" w:rsidRDefault="00714858" w:rsidP="00021292">
      <w:pPr>
        <w:pStyle w:val="ListParagraph"/>
        <w:numPr>
          <w:ilvl w:val="0"/>
          <w:numId w:val="50"/>
        </w:numPr>
        <w:rPr>
          <w:color w:val="262626"/>
        </w:rPr>
      </w:pPr>
      <w:proofErr w:type="gramStart"/>
      <w:r w:rsidRPr="00021292">
        <w:rPr>
          <w:color w:val="262626"/>
        </w:rPr>
        <w:t xml:space="preserve">Measurements collected by the GOSAT and OCO-2 instruments were cross-calibrated using common standards, including observations of the Sun, Moon, and surface vicarious calibration sites, such as Railroad Valley, Nevada, U.S.A. Additional effort by WGCV and GSICS is needed </w:t>
      </w:r>
      <w:r w:rsidRPr="00021292">
        <w:rPr>
          <w:color w:val="262626"/>
        </w:rPr>
        <w:lastRenderedPageBreak/>
        <w:t>to maintain and improve the quality of these standards to better address the calibration needs of space-based CO</w:t>
      </w:r>
      <w:r w:rsidRPr="00021292">
        <w:rPr>
          <w:color w:val="262626"/>
          <w:vertAlign w:val="subscript"/>
        </w:rPr>
        <w:t>2</w:t>
      </w:r>
      <w:r w:rsidRPr="00021292">
        <w:rPr>
          <w:color w:val="262626"/>
        </w:rPr>
        <w:t xml:space="preserve"> and </w:t>
      </w:r>
      <w:r w:rsidRPr="00021292">
        <w:rPr>
          <w:rFonts w:cs="Times New Roman"/>
          <w:color w:val="262626"/>
        </w:rPr>
        <w:t>CH</w:t>
      </w:r>
      <w:r w:rsidRPr="00021292">
        <w:rPr>
          <w:rFonts w:cs="Times New Roman"/>
          <w:color w:val="262626"/>
          <w:vertAlign w:val="subscript"/>
        </w:rPr>
        <w:t>4</w:t>
      </w:r>
      <w:r w:rsidRPr="00021292">
        <w:rPr>
          <w:color w:val="262626"/>
        </w:rPr>
        <w:t xml:space="preserve"> sensors</w:t>
      </w:r>
      <w:r w:rsidR="00467E56">
        <w:rPr>
          <w:color w:val="262626"/>
        </w:rPr>
        <w:t xml:space="preserve"> (Rec#10)</w:t>
      </w:r>
      <w:r w:rsidRPr="00021292">
        <w:rPr>
          <w:color w:val="262626"/>
        </w:rPr>
        <w:t>.</w:t>
      </w:r>
      <w:proofErr w:type="gramEnd"/>
      <w:r w:rsidRPr="00021292">
        <w:rPr>
          <w:color w:val="262626"/>
        </w:rPr>
        <w:t xml:space="preserve"> </w:t>
      </w:r>
    </w:p>
    <w:p w14:paraId="2178001F" w14:textId="6D04090F" w:rsidR="00714858" w:rsidRPr="00021292" w:rsidRDefault="00714858" w:rsidP="002D6E31">
      <w:pPr>
        <w:pStyle w:val="ListParagraph"/>
        <w:numPr>
          <w:ilvl w:val="0"/>
          <w:numId w:val="50"/>
        </w:numPr>
        <w:rPr>
          <w:color w:val="262626"/>
        </w:rPr>
      </w:pPr>
      <w:r w:rsidRPr="00021292">
        <w:rPr>
          <w:color w:val="262626"/>
        </w:rPr>
        <w:t xml:space="preserve">TCCON has provided the primary transfer standard to relate space-based </w:t>
      </w:r>
      <w:r w:rsidRPr="00021292">
        <w:rPr>
          <w:rFonts w:eastAsia="Times New Roman" w:cs="Times New Roman"/>
          <w:color w:val="262626"/>
          <w:szCs w:val="24"/>
        </w:rPr>
        <w:t>XCO</w:t>
      </w:r>
      <w:r w:rsidRPr="00021292">
        <w:rPr>
          <w:rFonts w:eastAsia="Times New Roman" w:cs="Times New Roman"/>
          <w:color w:val="262626"/>
          <w:szCs w:val="24"/>
          <w:vertAlign w:val="subscript"/>
        </w:rPr>
        <w:t>2</w:t>
      </w:r>
      <w:r w:rsidRPr="00021292">
        <w:rPr>
          <w:color w:val="262626"/>
        </w:rPr>
        <w:t xml:space="preserve"> and </w:t>
      </w:r>
      <w:r w:rsidRPr="00021292">
        <w:rPr>
          <w:rFonts w:cs="Times New Roman"/>
          <w:color w:val="262626"/>
        </w:rPr>
        <w:t>X</w:t>
      </w:r>
      <w:r w:rsidRPr="00021292">
        <w:rPr>
          <w:rFonts w:cs="Times New Roman"/>
          <w:color w:val="262626"/>
          <w:szCs w:val="20"/>
          <w:lang w:val="en-GB"/>
        </w:rPr>
        <w:t>CH</w:t>
      </w:r>
      <w:r w:rsidRPr="00021292">
        <w:rPr>
          <w:rFonts w:cs="Times New Roman"/>
          <w:color w:val="262626"/>
          <w:szCs w:val="20"/>
          <w:vertAlign w:val="subscript"/>
          <w:lang w:val="en-GB"/>
        </w:rPr>
        <w:t>4</w:t>
      </w:r>
      <w:r w:rsidRPr="00021292">
        <w:rPr>
          <w:color w:val="262626"/>
        </w:rPr>
        <w:t xml:space="preserve"> estimates to the ground-based in situ standards maintained by the WMO GAW network. </w:t>
      </w:r>
      <w:proofErr w:type="spellStart"/>
      <w:r w:rsidR="00211C24">
        <w:rPr>
          <w:color w:val="262626"/>
        </w:rPr>
        <w:t>Teh</w:t>
      </w:r>
      <w:proofErr w:type="spellEnd"/>
      <w:r w:rsidR="00211C24">
        <w:rPr>
          <w:color w:val="262626"/>
        </w:rPr>
        <w:t xml:space="preserve"> Whitepaper recommends that TCCON be</w:t>
      </w:r>
      <w:r w:rsidR="00FD59C9">
        <w:rPr>
          <w:color w:val="262626"/>
        </w:rPr>
        <w:t xml:space="preserve"> maintained and augment</w:t>
      </w:r>
      <w:r w:rsidR="00211C24">
        <w:rPr>
          <w:color w:val="262626"/>
        </w:rPr>
        <w:t>ed</w:t>
      </w:r>
      <w:r w:rsidR="00FD59C9">
        <w:rPr>
          <w:color w:val="262626"/>
        </w:rPr>
        <w:t xml:space="preserve"> </w:t>
      </w:r>
      <w:r w:rsidR="00211C24">
        <w:rPr>
          <w:color w:val="262626"/>
        </w:rPr>
        <w:t>with</w:t>
      </w:r>
      <w:r w:rsidR="002D6E31" w:rsidRPr="002D6E31">
        <w:rPr>
          <w:color w:val="262626"/>
        </w:rPr>
        <w:t xml:space="preserve"> portable, ground-based remote sensing instruments (e.g. EM27/SUN), in situ sensors on fixed-wing aircraft (commercial aircraft, such as CONTRAIL, IAGOS) and balloons (</w:t>
      </w:r>
      <w:proofErr w:type="spellStart"/>
      <w:r w:rsidR="002D6E31" w:rsidRPr="002D6E31">
        <w:rPr>
          <w:color w:val="262626"/>
        </w:rPr>
        <w:t>AirCore</w:t>
      </w:r>
      <w:proofErr w:type="spellEnd"/>
      <w:r w:rsidR="002D6E31" w:rsidRPr="002D6E31">
        <w:rPr>
          <w:color w:val="262626"/>
        </w:rPr>
        <w:t>), and airborne remote sensing instruments (MAMAP, CHARM-F etc.) to provide a more robust and accurate operational validation approach</w:t>
      </w:r>
      <w:r w:rsidR="002D6E31">
        <w:rPr>
          <w:color w:val="262626"/>
        </w:rPr>
        <w:t xml:space="preserve">. </w:t>
      </w:r>
      <w:r w:rsidR="00E52916" w:rsidRPr="00E52916">
        <w:rPr>
          <w:color w:val="262626"/>
        </w:rPr>
        <w:t>CEOS</w:t>
      </w:r>
      <w:r w:rsidR="00E52916">
        <w:rPr>
          <w:color w:val="262626"/>
        </w:rPr>
        <w:t xml:space="preserve"> and CGMS should strongly encourage their </w:t>
      </w:r>
      <w:r w:rsidR="00E52916" w:rsidRPr="00E52916">
        <w:rPr>
          <w:color w:val="262626"/>
        </w:rPr>
        <w:t xml:space="preserve">member agencies to </w:t>
      </w:r>
      <w:r w:rsidR="00211C24">
        <w:rPr>
          <w:color w:val="262626"/>
        </w:rPr>
        <w:t>develop</w:t>
      </w:r>
      <w:r w:rsidR="00211C24" w:rsidRPr="00E52916">
        <w:rPr>
          <w:color w:val="262626"/>
        </w:rPr>
        <w:t xml:space="preserve"> </w:t>
      </w:r>
      <w:r w:rsidR="00E52916" w:rsidRPr="00E52916">
        <w:rPr>
          <w:color w:val="262626"/>
        </w:rPr>
        <w:t xml:space="preserve">a more </w:t>
      </w:r>
      <w:r w:rsidR="00211C24">
        <w:rPr>
          <w:color w:val="262626"/>
        </w:rPr>
        <w:t xml:space="preserve">accurate, </w:t>
      </w:r>
      <w:r w:rsidR="00E52916" w:rsidRPr="00E52916">
        <w:rPr>
          <w:color w:val="262626"/>
        </w:rPr>
        <w:t xml:space="preserve">coordinated and sustainable </w:t>
      </w:r>
      <w:r w:rsidR="002D6E31">
        <w:rPr>
          <w:color w:val="262626"/>
        </w:rPr>
        <w:t>operational validation approach</w:t>
      </w:r>
      <w:r w:rsidR="00467E56">
        <w:rPr>
          <w:color w:val="262626"/>
        </w:rPr>
        <w:t xml:space="preserve"> (Rec#11)</w:t>
      </w:r>
      <w:r w:rsidRPr="00021292">
        <w:rPr>
          <w:color w:val="262626"/>
        </w:rPr>
        <w:t xml:space="preserve">. </w:t>
      </w:r>
    </w:p>
    <w:p w14:paraId="13A96E2C" w14:textId="77777777" w:rsidR="00714858" w:rsidRPr="00021292" w:rsidRDefault="00714858" w:rsidP="00021292">
      <w:pPr>
        <w:rPr>
          <w:color w:val="262626"/>
        </w:rPr>
      </w:pPr>
      <w:r w:rsidRPr="00021292">
        <w:rPr>
          <w:color w:val="262626"/>
        </w:rPr>
        <w:t xml:space="preserve">Ancillary measurements </w:t>
      </w:r>
      <w:proofErr w:type="gramStart"/>
      <w:r w:rsidRPr="00021292">
        <w:rPr>
          <w:color w:val="262626"/>
        </w:rPr>
        <w:t>are needed</w:t>
      </w:r>
      <w:proofErr w:type="gramEnd"/>
      <w:r w:rsidRPr="00021292">
        <w:rPr>
          <w:color w:val="262626"/>
        </w:rPr>
        <w:t xml:space="preserve"> both to improve the accuracy of the </w:t>
      </w:r>
      <w:r w:rsidRPr="00021292">
        <w:rPr>
          <w:rFonts w:eastAsia="Times New Roman" w:cs="Times New Roman"/>
          <w:color w:val="262626"/>
          <w:szCs w:val="24"/>
        </w:rPr>
        <w:t>XCO</w:t>
      </w:r>
      <w:r w:rsidRPr="00021292">
        <w:rPr>
          <w:rFonts w:eastAsia="Times New Roman" w:cs="Times New Roman"/>
          <w:color w:val="262626"/>
          <w:szCs w:val="24"/>
          <w:vertAlign w:val="subscript"/>
        </w:rPr>
        <w:t>2</w:t>
      </w:r>
      <w:r w:rsidRPr="00021292">
        <w:rPr>
          <w:color w:val="262626"/>
        </w:rPr>
        <w:t xml:space="preserve"> and </w:t>
      </w:r>
      <w:r w:rsidRPr="00021292">
        <w:rPr>
          <w:rFonts w:cs="Times New Roman"/>
          <w:color w:val="262626"/>
        </w:rPr>
        <w:t>X</w:t>
      </w:r>
      <w:r w:rsidRPr="00021292">
        <w:rPr>
          <w:rFonts w:cs="Times New Roman"/>
          <w:color w:val="262626"/>
          <w:szCs w:val="20"/>
          <w:lang w:val="en-GB"/>
        </w:rPr>
        <w:t>CH</w:t>
      </w:r>
      <w:r w:rsidRPr="00021292">
        <w:rPr>
          <w:rFonts w:cs="Times New Roman"/>
          <w:color w:val="262626"/>
          <w:szCs w:val="20"/>
          <w:vertAlign w:val="subscript"/>
          <w:lang w:val="en-GB"/>
        </w:rPr>
        <w:t>4</w:t>
      </w:r>
      <w:r w:rsidRPr="00021292">
        <w:rPr>
          <w:color w:val="262626"/>
        </w:rPr>
        <w:t xml:space="preserve"> retrievals (i.e. coincident observations of clouds and aerosols) and to facilitate their interpretation within the context of the anthropogenic and natural carbon cycle (i.e. SIF, NO</w:t>
      </w:r>
      <w:r w:rsidRPr="00021292">
        <w:rPr>
          <w:color w:val="262626"/>
          <w:vertAlign w:val="subscript"/>
        </w:rPr>
        <w:t>2</w:t>
      </w:r>
      <w:r w:rsidRPr="00021292">
        <w:rPr>
          <w:color w:val="262626"/>
        </w:rPr>
        <w:t xml:space="preserve"> and CO). Here, the proposed atmospheric CO</w:t>
      </w:r>
      <w:r w:rsidRPr="00021292">
        <w:rPr>
          <w:color w:val="262626"/>
          <w:vertAlign w:val="subscript"/>
        </w:rPr>
        <w:t>2</w:t>
      </w:r>
      <w:r w:rsidRPr="00021292">
        <w:rPr>
          <w:color w:val="262626"/>
        </w:rPr>
        <w:t xml:space="preserve"> and </w:t>
      </w:r>
      <w:r w:rsidRPr="00021292">
        <w:rPr>
          <w:rFonts w:cs="Times New Roman"/>
          <w:color w:val="262626"/>
        </w:rPr>
        <w:t>CH</w:t>
      </w:r>
      <w:r w:rsidRPr="00021292">
        <w:rPr>
          <w:rFonts w:cs="Times New Roman"/>
          <w:color w:val="262626"/>
          <w:vertAlign w:val="subscript"/>
        </w:rPr>
        <w:t>4</w:t>
      </w:r>
      <w:r w:rsidRPr="00021292">
        <w:rPr>
          <w:color w:val="262626"/>
        </w:rPr>
        <w:t xml:space="preserve"> monitoring system could substantially benefit from the full scope of carbon cycle observations included in the CEOS Carbon Strategy. The CEOS partner agencies should therefore continue to support that strategy</w:t>
      </w:r>
      <w:r w:rsidR="00467E56">
        <w:rPr>
          <w:color w:val="262626"/>
        </w:rPr>
        <w:t xml:space="preserve"> (Rec#15)</w:t>
      </w:r>
      <w:r w:rsidRPr="00021292">
        <w:rPr>
          <w:color w:val="262626"/>
        </w:rPr>
        <w:t>.</w:t>
      </w:r>
    </w:p>
    <w:p w14:paraId="65F43758" w14:textId="77777777" w:rsidR="00714858" w:rsidRPr="00021292" w:rsidRDefault="00714858" w:rsidP="00021292">
      <w:pPr>
        <w:rPr>
          <w:color w:val="262626"/>
        </w:rPr>
      </w:pPr>
      <w:r w:rsidRPr="00021292">
        <w:rPr>
          <w:color w:val="262626"/>
        </w:rPr>
        <w:t xml:space="preserve">CGMS and CEOS should work with their member agencies to identify and promote standards in product specification, formats, pre-processing etc. and product inter- comparisons </w:t>
      </w:r>
      <w:proofErr w:type="gramStart"/>
      <w:r w:rsidRPr="00021292">
        <w:rPr>
          <w:color w:val="262626"/>
        </w:rPr>
        <w:t>should be routinely undertaken and supported on a sustained basis to produce seamless, interoperable datasets for use in the broader system implementation</w:t>
      </w:r>
      <w:r w:rsidR="00467E56">
        <w:rPr>
          <w:color w:val="262626"/>
        </w:rPr>
        <w:t xml:space="preserve"> (Rec#12)</w:t>
      </w:r>
      <w:proofErr w:type="gramEnd"/>
      <w:r w:rsidRPr="00021292">
        <w:rPr>
          <w:color w:val="262626"/>
        </w:rPr>
        <w:t xml:space="preserve">. </w:t>
      </w:r>
    </w:p>
    <w:p w14:paraId="64FC0EFF" w14:textId="78BDBBBF" w:rsidR="00E52916" w:rsidRDefault="00E52916" w:rsidP="00E52916">
      <w:pPr>
        <w:rPr>
          <w:color w:val="262626"/>
        </w:rPr>
      </w:pPr>
      <w:r>
        <w:rPr>
          <w:color w:val="262626"/>
        </w:rPr>
        <w:t>CEOS and CGM</w:t>
      </w:r>
      <w:r w:rsidR="00491DDF">
        <w:rPr>
          <w:color w:val="262626"/>
        </w:rPr>
        <w:t>S</w:t>
      </w:r>
      <w:r>
        <w:rPr>
          <w:color w:val="262626"/>
        </w:rPr>
        <w:t xml:space="preserve"> agencies should consider a </w:t>
      </w:r>
      <w:r w:rsidR="002D6E31">
        <w:rPr>
          <w:color w:val="262626"/>
        </w:rPr>
        <w:t>[</w:t>
      </w:r>
      <w:r>
        <w:rPr>
          <w:color w:val="262626"/>
        </w:rPr>
        <w:t xml:space="preserve">centralized </w:t>
      </w:r>
      <w:r w:rsidR="002D6E31">
        <w:rPr>
          <w:color w:val="262626"/>
        </w:rPr>
        <w:t>or</w:t>
      </w:r>
      <w:r>
        <w:rPr>
          <w:color w:val="262626"/>
        </w:rPr>
        <w:t xml:space="preserve"> possibly geographically distributed</w:t>
      </w:r>
      <w:r w:rsidR="002D6E31">
        <w:rPr>
          <w:color w:val="262626"/>
        </w:rPr>
        <w:t>]</w:t>
      </w:r>
      <w:r>
        <w:rPr>
          <w:color w:val="262626"/>
        </w:rPr>
        <w:t xml:space="preserve"> repository for hosting quality-controlled </w:t>
      </w:r>
      <w:r w:rsidRPr="0016730D">
        <w:rPr>
          <w:color w:val="262626"/>
        </w:rPr>
        <w:t>CO</w:t>
      </w:r>
      <w:r w:rsidRPr="0016730D">
        <w:rPr>
          <w:color w:val="262626"/>
          <w:vertAlign w:val="subscript"/>
        </w:rPr>
        <w:t>2</w:t>
      </w:r>
      <w:r>
        <w:rPr>
          <w:color w:val="262626"/>
        </w:rPr>
        <w:t xml:space="preserve"> and </w:t>
      </w:r>
      <w:r w:rsidRPr="0016730D">
        <w:rPr>
          <w:rFonts w:cs="Times New Roman"/>
          <w:color w:val="262626"/>
        </w:rPr>
        <w:t>CH</w:t>
      </w:r>
      <w:r w:rsidRPr="0016730D">
        <w:rPr>
          <w:rFonts w:cs="Times New Roman"/>
          <w:color w:val="262626"/>
          <w:vertAlign w:val="subscript"/>
        </w:rPr>
        <w:t>4</w:t>
      </w:r>
      <w:r>
        <w:rPr>
          <w:color w:val="262626"/>
        </w:rPr>
        <w:t xml:space="preserve"> products, with internal capability for product inter-comparison</w:t>
      </w:r>
      <w:r w:rsidR="00467E56">
        <w:rPr>
          <w:color w:val="262626"/>
        </w:rPr>
        <w:t xml:space="preserve"> (Rec#13)</w:t>
      </w:r>
      <w:r>
        <w:rPr>
          <w:color w:val="262626"/>
        </w:rPr>
        <w:t>.</w:t>
      </w:r>
    </w:p>
    <w:p w14:paraId="34D83949" w14:textId="77777777" w:rsidR="00657E23" w:rsidRDefault="006C6610" w:rsidP="00021292">
      <w:pPr>
        <w:rPr>
          <w:color w:val="262626"/>
        </w:rPr>
      </w:pPr>
      <w:r>
        <w:rPr>
          <w:color w:val="262626"/>
        </w:rPr>
        <w:t xml:space="preserve">The </w:t>
      </w:r>
      <w:r w:rsidR="00DE11D1">
        <w:rPr>
          <w:color w:val="262626"/>
        </w:rPr>
        <w:t xml:space="preserve">UNFCCC and the Parties to the Convention require GHG monitoring capabilities that </w:t>
      </w:r>
      <w:r w:rsidR="00CD6C6F">
        <w:rPr>
          <w:color w:val="262626"/>
        </w:rPr>
        <w:t>are beyond</w:t>
      </w:r>
      <w:r>
        <w:rPr>
          <w:color w:val="262626"/>
        </w:rPr>
        <w:t xml:space="preserve"> the state-of-the-art fo</w:t>
      </w:r>
      <w:r w:rsidR="00CD6C6F">
        <w:rPr>
          <w:color w:val="262626"/>
        </w:rPr>
        <w:t>r existing</w:t>
      </w:r>
      <w:r>
        <w:rPr>
          <w:color w:val="262626"/>
        </w:rPr>
        <w:t xml:space="preserve"> sp</w:t>
      </w:r>
      <w:r w:rsidR="00DE11D1">
        <w:rPr>
          <w:color w:val="262626"/>
        </w:rPr>
        <w:t xml:space="preserve">ace-based measurement technologies. </w:t>
      </w:r>
    </w:p>
    <w:p w14:paraId="661A6788" w14:textId="77777777" w:rsidR="006C6610" w:rsidRPr="00021292" w:rsidRDefault="006C6610" w:rsidP="00021292">
      <w:pPr>
        <w:pStyle w:val="ListParagraph"/>
        <w:numPr>
          <w:ilvl w:val="0"/>
          <w:numId w:val="52"/>
        </w:numPr>
        <w:rPr>
          <w:color w:val="262626"/>
        </w:rPr>
      </w:pPr>
      <w:r w:rsidRPr="00021292">
        <w:rPr>
          <w:color w:val="262626"/>
        </w:rPr>
        <w:t xml:space="preserve">CEOS and CGMS agencies should therefore continue to pursue </w:t>
      </w:r>
      <w:r w:rsidR="00CD6C6F" w:rsidRPr="00021292">
        <w:rPr>
          <w:color w:val="262626"/>
        </w:rPr>
        <w:t>technology development</w:t>
      </w:r>
      <w:r w:rsidRPr="00021292">
        <w:rPr>
          <w:color w:val="262626"/>
        </w:rPr>
        <w:t xml:space="preserve"> for both sensors (e.g. wide swath passive </w:t>
      </w:r>
      <w:r w:rsidR="00CD6C6F" w:rsidRPr="00021292">
        <w:rPr>
          <w:color w:val="262626"/>
        </w:rPr>
        <w:t>CO</w:t>
      </w:r>
      <w:r w:rsidR="00CD6C6F" w:rsidRPr="00021292">
        <w:rPr>
          <w:color w:val="262626"/>
          <w:vertAlign w:val="subscript"/>
        </w:rPr>
        <w:t>2</w:t>
      </w:r>
      <w:r w:rsidRPr="00021292">
        <w:rPr>
          <w:color w:val="262626"/>
        </w:rPr>
        <w:t xml:space="preserve"> and </w:t>
      </w:r>
      <w:r w:rsidR="00CD6C6F" w:rsidRPr="00021292">
        <w:rPr>
          <w:rFonts w:cs="Times New Roman"/>
          <w:color w:val="262626"/>
        </w:rPr>
        <w:t>CH</w:t>
      </w:r>
      <w:r w:rsidR="00CD6C6F" w:rsidRPr="00021292">
        <w:rPr>
          <w:rFonts w:cs="Times New Roman"/>
          <w:color w:val="262626"/>
          <w:vertAlign w:val="subscript"/>
        </w:rPr>
        <w:t>4</w:t>
      </w:r>
      <w:r w:rsidRPr="00021292">
        <w:rPr>
          <w:color w:val="262626"/>
        </w:rPr>
        <w:t xml:space="preserve"> imagers, active </w:t>
      </w:r>
      <w:proofErr w:type="spellStart"/>
      <w:r w:rsidRPr="00021292">
        <w:rPr>
          <w:color w:val="262626"/>
        </w:rPr>
        <w:t>lidar</w:t>
      </w:r>
      <w:proofErr w:type="spellEnd"/>
      <w:r w:rsidRPr="00021292">
        <w:rPr>
          <w:color w:val="262626"/>
        </w:rPr>
        <w:t>) and mission designs (e.g. GEO, HEO</w:t>
      </w:r>
      <w:r w:rsidR="00CD6C6F" w:rsidRPr="00021292">
        <w:rPr>
          <w:color w:val="262626"/>
        </w:rPr>
        <w:t xml:space="preserve"> vantage points</w:t>
      </w:r>
      <w:r w:rsidRPr="00021292">
        <w:rPr>
          <w:color w:val="262626"/>
        </w:rPr>
        <w:t>)</w:t>
      </w:r>
      <w:r w:rsidR="00DE11D1" w:rsidRPr="00021292">
        <w:rPr>
          <w:color w:val="262626"/>
        </w:rPr>
        <w:t xml:space="preserve"> to better meet these needs</w:t>
      </w:r>
      <w:r w:rsidRPr="00021292">
        <w:rPr>
          <w:color w:val="262626"/>
        </w:rPr>
        <w:t xml:space="preserve">. These </w:t>
      </w:r>
      <w:r w:rsidR="00CD6C6F" w:rsidRPr="00021292">
        <w:rPr>
          <w:color w:val="262626"/>
        </w:rPr>
        <w:t xml:space="preserve">technology </w:t>
      </w:r>
      <w:r w:rsidRPr="00021292">
        <w:rPr>
          <w:color w:val="262626"/>
        </w:rPr>
        <w:t xml:space="preserve">development efforts should be coordinated </w:t>
      </w:r>
      <w:r w:rsidR="00CD6C6F" w:rsidRPr="00021292">
        <w:rPr>
          <w:color w:val="262626"/>
        </w:rPr>
        <w:t>and reported to the CEOS and CGMS</w:t>
      </w:r>
      <w:r w:rsidRPr="00021292">
        <w:rPr>
          <w:color w:val="262626"/>
        </w:rPr>
        <w:t xml:space="preserve"> Principals </w:t>
      </w:r>
      <w:r w:rsidR="00CD6C6F" w:rsidRPr="00021292">
        <w:rPr>
          <w:color w:val="262626"/>
        </w:rPr>
        <w:t xml:space="preserve">along with </w:t>
      </w:r>
      <w:r w:rsidRPr="00021292">
        <w:rPr>
          <w:color w:val="262626"/>
        </w:rPr>
        <w:t xml:space="preserve">additional capabilities </w:t>
      </w:r>
      <w:r w:rsidR="00DE11D1" w:rsidRPr="00021292">
        <w:rPr>
          <w:color w:val="262626"/>
        </w:rPr>
        <w:t>needed</w:t>
      </w:r>
      <w:r w:rsidRPr="00021292">
        <w:rPr>
          <w:color w:val="262626"/>
        </w:rPr>
        <w:t xml:space="preserve"> for future mission opportunities</w:t>
      </w:r>
      <w:r w:rsidR="00467E56">
        <w:rPr>
          <w:color w:val="262626"/>
        </w:rPr>
        <w:t xml:space="preserve"> (Rec#14)</w:t>
      </w:r>
      <w:r w:rsidRPr="00021292">
        <w:rPr>
          <w:color w:val="262626"/>
        </w:rPr>
        <w:t>.</w:t>
      </w:r>
    </w:p>
    <w:p w14:paraId="1E02A739" w14:textId="77777777" w:rsidR="00E52916" w:rsidRDefault="00E52916" w:rsidP="00021292">
      <w:pPr>
        <w:pStyle w:val="ListParagraph"/>
        <w:numPr>
          <w:ilvl w:val="0"/>
          <w:numId w:val="51"/>
        </w:numPr>
        <w:rPr>
          <w:color w:val="262626"/>
        </w:rPr>
      </w:pPr>
      <w:r>
        <w:rPr>
          <w:color w:val="262626"/>
        </w:rPr>
        <w:t xml:space="preserve">CEOS and CGMS </w:t>
      </w:r>
      <w:r w:rsidRPr="00E52916">
        <w:rPr>
          <w:color w:val="262626"/>
        </w:rPr>
        <w:t xml:space="preserve">should encourage its member agencies to support </w:t>
      </w:r>
      <w:r>
        <w:rPr>
          <w:color w:val="262626"/>
        </w:rPr>
        <w:t xml:space="preserve">remote sensing </w:t>
      </w:r>
      <w:r w:rsidRPr="00E52916">
        <w:rPr>
          <w:color w:val="262626"/>
        </w:rPr>
        <w:t>retrieval algorithm developments and inter</w:t>
      </w:r>
      <w:r w:rsidR="00FD59C9">
        <w:rPr>
          <w:color w:val="262626"/>
        </w:rPr>
        <w:t>-</w:t>
      </w:r>
      <w:r w:rsidRPr="00E52916">
        <w:rPr>
          <w:color w:val="262626"/>
        </w:rPr>
        <w:t>comparison efforts, and should encourage the free exchange of gas and aerosol optical properties and other types of input and validation data.</w:t>
      </w:r>
    </w:p>
    <w:p w14:paraId="66D5EEE0" w14:textId="77777777" w:rsidR="00E52916" w:rsidRPr="00021292" w:rsidRDefault="00E52916" w:rsidP="00021292">
      <w:pPr>
        <w:pStyle w:val="ListParagraph"/>
        <w:numPr>
          <w:ilvl w:val="0"/>
          <w:numId w:val="51"/>
        </w:numPr>
        <w:rPr>
          <w:color w:val="262626"/>
        </w:rPr>
      </w:pPr>
      <w:r w:rsidRPr="00E52916">
        <w:rPr>
          <w:color w:val="262626"/>
        </w:rPr>
        <w:t>To inform anthropogenic emission inventories with space-based measurements, CEOS should continue to encourage its member agencies to support the development of advanced atmospheric inversion systems. These efforts should span all scales of interest, from global models, to mesoscale models, to urban scale and point source models, and should encourage the use of data from the broadest range of space-based and ground-based sources. They should also encourage the development and testing of innovative ways to validate atmospheric inversion products.</w:t>
      </w:r>
    </w:p>
    <w:p w14:paraId="3839F7EB" w14:textId="77777777" w:rsidR="0066706F" w:rsidRDefault="0066706F" w:rsidP="00E544D3">
      <w:pPr>
        <w:pBdr>
          <w:top w:val="nil"/>
          <w:left w:val="nil"/>
          <w:bottom w:val="nil"/>
          <w:right w:val="nil"/>
          <w:between w:val="nil"/>
        </w:pBdr>
        <w:spacing w:after="0"/>
        <w:jc w:val="left"/>
        <w:rPr>
          <w:color w:val="222222"/>
        </w:rPr>
      </w:pPr>
      <w:bookmarkStart w:id="8" w:name="_Toc17045292"/>
      <w:bookmarkStart w:id="9" w:name="_Toc17045293"/>
      <w:bookmarkStart w:id="10" w:name="_Toc17045294"/>
      <w:bookmarkStart w:id="11" w:name="_Toc17045295"/>
      <w:bookmarkStart w:id="12" w:name="_Toc17045296"/>
      <w:bookmarkStart w:id="13" w:name="_Toc17045297"/>
      <w:bookmarkStart w:id="14" w:name="_Toc17045298"/>
      <w:bookmarkStart w:id="15" w:name="_Toc17045299"/>
      <w:bookmarkStart w:id="16" w:name="_Toc17045300"/>
      <w:bookmarkStart w:id="17" w:name="_Toc17045301"/>
      <w:bookmarkStart w:id="18" w:name="_Toc17045302"/>
      <w:bookmarkStart w:id="19" w:name="_Toc17045303"/>
      <w:bookmarkStart w:id="20" w:name="_Toc17045304"/>
      <w:bookmarkEnd w:id="8"/>
      <w:bookmarkEnd w:id="9"/>
      <w:bookmarkEnd w:id="10"/>
      <w:bookmarkEnd w:id="11"/>
      <w:bookmarkEnd w:id="12"/>
      <w:bookmarkEnd w:id="13"/>
      <w:bookmarkEnd w:id="14"/>
      <w:bookmarkEnd w:id="15"/>
      <w:bookmarkEnd w:id="16"/>
      <w:bookmarkEnd w:id="17"/>
      <w:bookmarkEnd w:id="18"/>
      <w:bookmarkEnd w:id="19"/>
      <w:bookmarkEnd w:id="20"/>
    </w:p>
    <w:p w14:paraId="22E8C578" w14:textId="77777777" w:rsidR="0066706F" w:rsidRDefault="0066706F" w:rsidP="00E544D3">
      <w:pPr>
        <w:pStyle w:val="Heading2"/>
      </w:pPr>
      <w:bookmarkStart w:id="21" w:name="_Toc21714992"/>
      <w:r>
        <w:t>Implementation Approach</w:t>
      </w:r>
      <w:bookmarkEnd w:id="21"/>
    </w:p>
    <w:p w14:paraId="56EC50ED" w14:textId="54D0E9BB" w:rsidR="00330A6B" w:rsidRDefault="003D217B" w:rsidP="003E0C3C">
      <w:pPr>
        <w:pBdr>
          <w:top w:val="nil"/>
          <w:left w:val="nil"/>
          <w:bottom w:val="nil"/>
          <w:right w:val="nil"/>
          <w:between w:val="nil"/>
        </w:pBdr>
        <w:spacing w:after="0"/>
        <w:jc w:val="left"/>
        <w:rPr>
          <w:color w:val="222222"/>
        </w:rPr>
      </w:pPr>
      <w:r>
        <w:rPr>
          <w:color w:val="222222"/>
        </w:rPr>
        <w:t>The implementation a</w:t>
      </w:r>
      <w:r w:rsidR="00287EB0">
        <w:rPr>
          <w:color w:val="222222"/>
        </w:rPr>
        <w:t>pproach</w:t>
      </w:r>
      <w:r>
        <w:rPr>
          <w:color w:val="222222"/>
        </w:rPr>
        <w:t xml:space="preserve"> proposed here</w:t>
      </w:r>
      <w:r w:rsidR="00287EB0">
        <w:rPr>
          <w:color w:val="222222"/>
        </w:rPr>
        <w:t xml:space="preserve"> </w:t>
      </w:r>
      <w:proofErr w:type="gramStart"/>
      <w:r w:rsidR="00287EB0">
        <w:rPr>
          <w:color w:val="222222"/>
        </w:rPr>
        <w:t>is driven</w:t>
      </w:r>
      <w:proofErr w:type="gramEnd"/>
      <w:r w:rsidR="00287EB0">
        <w:rPr>
          <w:color w:val="222222"/>
        </w:rPr>
        <w:t xml:space="preserve"> by</w:t>
      </w:r>
      <w:r w:rsidR="00021292">
        <w:rPr>
          <w:color w:val="222222"/>
        </w:rPr>
        <w:t xml:space="preserve"> the</w:t>
      </w:r>
      <w:r w:rsidR="00287EB0">
        <w:rPr>
          <w:color w:val="222222"/>
        </w:rPr>
        <w:t xml:space="preserve"> delivery </w:t>
      </w:r>
      <w:r>
        <w:rPr>
          <w:color w:val="222222"/>
        </w:rPr>
        <w:t xml:space="preserve">schedule and </w:t>
      </w:r>
      <w:r w:rsidR="003E0C3C">
        <w:rPr>
          <w:color w:val="222222"/>
        </w:rPr>
        <w:t xml:space="preserve">performance </w:t>
      </w:r>
      <w:r w:rsidR="00287EB0">
        <w:rPr>
          <w:color w:val="222222"/>
        </w:rPr>
        <w:t>requirement</w:t>
      </w:r>
      <w:r w:rsidR="003E0C3C">
        <w:rPr>
          <w:color w:val="222222"/>
        </w:rPr>
        <w:t xml:space="preserve">s needed to achieve </w:t>
      </w:r>
      <w:r w:rsidR="00C6416C">
        <w:rPr>
          <w:color w:val="222222"/>
        </w:rPr>
        <w:t xml:space="preserve">the three </w:t>
      </w:r>
      <w:r w:rsidR="003E0C3C">
        <w:rPr>
          <w:color w:val="222222"/>
        </w:rPr>
        <w:t>major objective</w:t>
      </w:r>
      <w:r w:rsidR="00C6416C">
        <w:rPr>
          <w:color w:val="222222"/>
        </w:rPr>
        <w:t>s</w:t>
      </w:r>
      <w:r w:rsidR="003E0C3C">
        <w:rPr>
          <w:color w:val="222222"/>
        </w:rPr>
        <w:t xml:space="preserve"> </w:t>
      </w:r>
      <w:r w:rsidR="00C6416C">
        <w:rPr>
          <w:color w:val="222222"/>
        </w:rPr>
        <w:t xml:space="preserve">listed in the introduction of this document </w:t>
      </w:r>
      <w:r w:rsidR="003E0C3C">
        <w:rPr>
          <w:color w:val="222222"/>
        </w:rPr>
        <w:t xml:space="preserve">(i.e. </w:t>
      </w:r>
      <w:r>
        <w:rPr>
          <w:color w:val="222222"/>
        </w:rPr>
        <w:t xml:space="preserve">refined atmospheric inventory requirements, prototype atmosphere inventory, and </w:t>
      </w:r>
      <w:r w:rsidR="003E0C3C">
        <w:rPr>
          <w:color w:val="222222"/>
        </w:rPr>
        <w:lastRenderedPageBreak/>
        <w:t xml:space="preserve">operational constellation performance specifications).  </w:t>
      </w:r>
      <w:bookmarkStart w:id="22" w:name="_Toc17045305"/>
      <w:bookmarkEnd w:id="22"/>
      <w:r w:rsidR="00C6416C">
        <w:rPr>
          <w:color w:val="222222"/>
        </w:rPr>
        <w:t>To meet</w:t>
      </w:r>
      <w:r w:rsidR="00287EB0">
        <w:rPr>
          <w:color w:val="222222"/>
        </w:rPr>
        <w:t xml:space="preserve"> each </w:t>
      </w:r>
      <w:r w:rsidR="003E0C3C">
        <w:rPr>
          <w:color w:val="222222"/>
        </w:rPr>
        <w:t>objective</w:t>
      </w:r>
      <w:r>
        <w:rPr>
          <w:color w:val="222222"/>
        </w:rPr>
        <w:t>,</w:t>
      </w:r>
      <w:r w:rsidR="00287EB0">
        <w:rPr>
          <w:color w:val="222222"/>
        </w:rPr>
        <w:t xml:space="preserve"> the following </w:t>
      </w:r>
      <w:proofErr w:type="gramStart"/>
      <w:r w:rsidR="00C6416C">
        <w:rPr>
          <w:color w:val="222222"/>
        </w:rPr>
        <w:t>are</w:t>
      </w:r>
      <w:r w:rsidR="00287EB0">
        <w:rPr>
          <w:color w:val="222222"/>
        </w:rPr>
        <w:t xml:space="preserve"> needed</w:t>
      </w:r>
      <w:proofErr w:type="gramEnd"/>
      <w:r w:rsidR="00287EB0">
        <w:rPr>
          <w:color w:val="222222"/>
        </w:rPr>
        <w:t>:</w:t>
      </w:r>
      <w:bookmarkStart w:id="23" w:name="_Toc17045306"/>
      <w:bookmarkEnd w:id="23"/>
    </w:p>
    <w:p w14:paraId="42E9871D" w14:textId="77777777" w:rsidR="00330A6B" w:rsidRDefault="00287EB0" w:rsidP="00A23959">
      <w:pPr>
        <w:numPr>
          <w:ilvl w:val="0"/>
          <w:numId w:val="51"/>
        </w:numPr>
        <w:pBdr>
          <w:top w:val="nil"/>
          <w:left w:val="nil"/>
          <w:bottom w:val="nil"/>
          <w:right w:val="nil"/>
          <w:between w:val="nil"/>
        </w:pBdr>
        <w:spacing w:after="0"/>
        <w:jc w:val="left"/>
        <w:rPr>
          <w:color w:val="222222"/>
        </w:rPr>
      </w:pPr>
      <w:r>
        <w:rPr>
          <w:color w:val="222222"/>
        </w:rPr>
        <w:t xml:space="preserve">An </w:t>
      </w:r>
      <w:r w:rsidR="003E0C3C">
        <w:rPr>
          <w:color w:val="222222"/>
        </w:rPr>
        <w:t xml:space="preserve">overall </w:t>
      </w:r>
      <w:r>
        <w:rPr>
          <w:color w:val="222222"/>
        </w:rPr>
        <w:t>architecture</w:t>
      </w:r>
      <w:bookmarkStart w:id="24" w:name="_Toc17045307"/>
      <w:bookmarkEnd w:id="24"/>
      <w:r w:rsidR="003E0C3C">
        <w:rPr>
          <w:color w:val="222222"/>
        </w:rPr>
        <w:t xml:space="preserve"> that meets the specified goal</w:t>
      </w:r>
      <w:r w:rsidR="00C6416C">
        <w:rPr>
          <w:color w:val="222222"/>
        </w:rPr>
        <w:t>s of each product to be delivered</w:t>
      </w:r>
      <w:r w:rsidR="003E0C3C">
        <w:rPr>
          <w:color w:val="222222"/>
        </w:rPr>
        <w:t>;</w:t>
      </w:r>
    </w:p>
    <w:p w14:paraId="13F13669" w14:textId="3E9043A1" w:rsidR="00330A6B" w:rsidRDefault="003E0C3C" w:rsidP="00A23959">
      <w:pPr>
        <w:numPr>
          <w:ilvl w:val="0"/>
          <w:numId w:val="51"/>
        </w:numPr>
        <w:pBdr>
          <w:top w:val="nil"/>
          <w:left w:val="nil"/>
          <w:bottom w:val="nil"/>
          <w:right w:val="nil"/>
          <w:between w:val="nil"/>
        </w:pBdr>
        <w:spacing w:after="0"/>
        <w:jc w:val="left"/>
        <w:rPr>
          <w:color w:val="222222"/>
        </w:rPr>
      </w:pPr>
      <w:r>
        <w:rPr>
          <w:color w:val="222222"/>
        </w:rPr>
        <w:t xml:space="preserve">A list of the </w:t>
      </w:r>
      <w:r w:rsidR="00287EB0">
        <w:rPr>
          <w:color w:val="222222"/>
        </w:rPr>
        <w:t>potential contributors to the</w:t>
      </w:r>
      <w:r>
        <w:rPr>
          <w:color w:val="222222"/>
        </w:rPr>
        <w:t xml:space="preserve"> implementation of the</w:t>
      </w:r>
      <w:r w:rsidR="00287EB0">
        <w:rPr>
          <w:color w:val="222222"/>
        </w:rPr>
        <w:t xml:space="preserve"> architecture</w:t>
      </w:r>
      <w:bookmarkStart w:id="25" w:name="_Toc17045308"/>
      <w:bookmarkEnd w:id="25"/>
      <w:r>
        <w:rPr>
          <w:color w:val="222222"/>
        </w:rPr>
        <w:t>;</w:t>
      </w:r>
    </w:p>
    <w:p w14:paraId="27C10993" w14:textId="5B66B090" w:rsidR="00330A6B" w:rsidRDefault="003E0C3C" w:rsidP="00A23959">
      <w:pPr>
        <w:numPr>
          <w:ilvl w:val="0"/>
          <w:numId w:val="51"/>
        </w:numPr>
        <w:pBdr>
          <w:top w:val="nil"/>
          <w:left w:val="nil"/>
          <w:bottom w:val="nil"/>
          <w:right w:val="nil"/>
          <w:between w:val="nil"/>
        </w:pBdr>
        <w:spacing w:after="0"/>
        <w:jc w:val="left"/>
        <w:rPr>
          <w:color w:val="222222"/>
        </w:rPr>
      </w:pPr>
      <w:r>
        <w:rPr>
          <w:color w:val="222222"/>
        </w:rPr>
        <w:t xml:space="preserve">A list of </w:t>
      </w:r>
      <w:r w:rsidR="00287EB0">
        <w:rPr>
          <w:color w:val="222222"/>
        </w:rPr>
        <w:t xml:space="preserve">open points/challenges that need to be solved, the proposed approach to resolving </w:t>
      </w:r>
      <w:r>
        <w:rPr>
          <w:color w:val="222222"/>
        </w:rPr>
        <w:t xml:space="preserve">each </w:t>
      </w:r>
      <w:r w:rsidR="00287EB0">
        <w:rPr>
          <w:color w:val="222222"/>
        </w:rPr>
        <w:t>issue (including as appropriate actions identified ... e.g. prototyping etc</w:t>
      </w:r>
      <w:r>
        <w:rPr>
          <w:color w:val="222222"/>
        </w:rPr>
        <w:t>.</w:t>
      </w:r>
      <w:r w:rsidR="00287EB0">
        <w:rPr>
          <w:color w:val="222222"/>
        </w:rPr>
        <w:t>), potential impact of issue on the system outputs, if unresolved, etc</w:t>
      </w:r>
      <w:bookmarkStart w:id="26" w:name="_Toc17045309"/>
      <w:bookmarkEnd w:id="26"/>
      <w:r>
        <w:rPr>
          <w:color w:val="222222"/>
        </w:rPr>
        <w:t>.</w:t>
      </w:r>
      <w:r w:rsidR="00C6416C">
        <w:rPr>
          <w:color w:val="222222"/>
        </w:rPr>
        <w:t>;</w:t>
      </w:r>
    </w:p>
    <w:p w14:paraId="3399256B" w14:textId="2564BD80" w:rsidR="00330A6B" w:rsidRDefault="00287EB0" w:rsidP="00A23959">
      <w:pPr>
        <w:numPr>
          <w:ilvl w:val="0"/>
          <w:numId w:val="51"/>
        </w:numPr>
        <w:pBdr>
          <w:top w:val="nil"/>
          <w:left w:val="nil"/>
          <w:bottom w:val="nil"/>
          <w:right w:val="nil"/>
          <w:between w:val="nil"/>
        </w:pBdr>
        <w:spacing w:after="0"/>
        <w:jc w:val="left"/>
        <w:rPr>
          <w:color w:val="222222"/>
        </w:rPr>
      </w:pPr>
      <w:r>
        <w:rPr>
          <w:color w:val="222222"/>
        </w:rPr>
        <w:t xml:space="preserve">Decision logic for clarifying the </w:t>
      </w:r>
      <w:r w:rsidR="00C6416C">
        <w:rPr>
          <w:color w:val="222222"/>
        </w:rPr>
        <w:t xml:space="preserve">product </w:t>
      </w:r>
      <w:r>
        <w:rPr>
          <w:color w:val="222222"/>
        </w:rPr>
        <w:t>architecture where open issues exist</w:t>
      </w:r>
      <w:r w:rsidR="00C6416C">
        <w:rPr>
          <w:color w:val="222222"/>
        </w:rPr>
        <w:t>;</w:t>
      </w:r>
      <w:bookmarkStart w:id="27" w:name="_Toc17045310"/>
      <w:bookmarkEnd w:id="27"/>
    </w:p>
    <w:p w14:paraId="153D4B9F" w14:textId="77777777" w:rsidR="00C6416C" w:rsidRDefault="00287EB0" w:rsidP="00A23959">
      <w:pPr>
        <w:numPr>
          <w:ilvl w:val="0"/>
          <w:numId w:val="51"/>
        </w:numPr>
        <w:pBdr>
          <w:top w:val="nil"/>
          <w:left w:val="nil"/>
          <w:bottom w:val="nil"/>
          <w:right w:val="nil"/>
          <w:between w:val="nil"/>
        </w:pBdr>
        <w:spacing w:after="0"/>
        <w:jc w:val="left"/>
        <w:rPr>
          <w:color w:val="222222"/>
        </w:rPr>
      </w:pPr>
      <w:r>
        <w:rPr>
          <w:color w:val="222222"/>
        </w:rPr>
        <w:t>Apportionment of requirements to components of the system (as needed to system elements) in order to meet the end-to-end requirements (including system output requirements)</w:t>
      </w:r>
      <w:bookmarkStart w:id="28" w:name="_Toc17045311"/>
      <w:bookmarkEnd w:id="28"/>
      <w:r w:rsidR="00C6416C">
        <w:rPr>
          <w:color w:val="222222"/>
        </w:rPr>
        <w:t>; and</w:t>
      </w:r>
    </w:p>
    <w:p w14:paraId="46DDF895" w14:textId="5E80E703" w:rsidR="00400778" w:rsidRDefault="00C6416C" w:rsidP="00A23959">
      <w:pPr>
        <w:numPr>
          <w:ilvl w:val="0"/>
          <w:numId w:val="51"/>
        </w:numPr>
        <w:pBdr>
          <w:top w:val="nil"/>
          <w:left w:val="nil"/>
          <w:bottom w:val="nil"/>
          <w:right w:val="nil"/>
          <w:between w:val="nil"/>
        </w:pBdr>
        <w:spacing w:after="0"/>
        <w:jc w:val="left"/>
      </w:pPr>
      <w:r w:rsidRPr="00021292">
        <w:rPr>
          <w:color w:val="222222"/>
        </w:rPr>
        <w:t xml:space="preserve">A schedule leading to the delivery of each </w:t>
      </w:r>
      <w:r>
        <w:rPr>
          <w:color w:val="222222"/>
        </w:rPr>
        <w:t>product</w:t>
      </w:r>
      <w:r w:rsidRPr="00021292">
        <w:rPr>
          <w:color w:val="222222"/>
        </w:rPr>
        <w:t xml:space="preserve"> with activity dependencies between versions clearly identified in a top-level schedule.</w:t>
      </w:r>
      <w:bookmarkStart w:id="29" w:name="_Toc17045312"/>
      <w:bookmarkStart w:id="30" w:name="_Toc17045313"/>
      <w:bookmarkEnd w:id="29"/>
      <w:bookmarkEnd w:id="30"/>
    </w:p>
    <w:p w14:paraId="4C963855" w14:textId="77777777" w:rsidR="0029632C" w:rsidRDefault="0029632C" w:rsidP="0029632C"/>
    <w:p w14:paraId="0F724C7F" w14:textId="4AA92A76" w:rsidR="0029632C" w:rsidRDefault="002C723C" w:rsidP="00ED72E3">
      <w:r>
        <w:t xml:space="preserve">To meet </w:t>
      </w:r>
      <w:r w:rsidR="0066160A">
        <w:t xml:space="preserve">the tight delivery schedule </w:t>
      </w:r>
      <w:r w:rsidR="001952C7">
        <w:t>dictated</w:t>
      </w:r>
      <w:r w:rsidR="0066160A">
        <w:t xml:space="preserve"> by the Global </w:t>
      </w:r>
      <w:proofErr w:type="spellStart"/>
      <w:r w:rsidR="0066160A">
        <w:t>stocktakes</w:t>
      </w:r>
      <w:proofErr w:type="spellEnd"/>
      <w:r w:rsidR="0066160A">
        <w:t xml:space="preserve">, the implementation approach </w:t>
      </w:r>
      <w:r w:rsidR="00864565">
        <w:t xml:space="preserve">follows an initial phase of planning </w:t>
      </w:r>
      <w:r w:rsidR="001952C7">
        <w:t xml:space="preserve">for </w:t>
      </w:r>
      <w:r w:rsidR="00864565">
        <w:t xml:space="preserve">a semi-parallel approach </w:t>
      </w:r>
      <w:r w:rsidR="0029632C">
        <w:t>that addresses</w:t>
      </w:r>
      <w:r w:rsidR="001952C7">
        <w:t xml:space="preserve"> the </w:t>
      </w:r>
      <w:r w:rsidR="00864565">
        <w:t xml:space="preserve">three objectives. </w:t>
      </w:r>
      <w:r w:rsidR="0029632C">
        <w:t>A</w:t>
      </w:r>
      <w:r w:rsidR="00E96797">
        <w:t xml:space="preserve"> versioning approach </w:t>
      </w:r>
      <w:r w:rsidR="0029632C">
        <w:t xml:space="preserve">underlies each objective, </w:t>
      </w:r>
      <w:r w:rsidR="00E96797">
        <w:t>allowing a clear assignment of updat</w:t>
      </w:r>
      <w:r w:rsidR="00400778">
        <w:t>es based on two different stream</w:t>
      </w:r>
      <w:r w:rsidR="00E96797">
        <w:t>s</w:t>
      </w:r>
      <w:r w:rsidR="00400778">
        <w:t>:</w:t>
      </w:r>
      <w:r w:rsidR="0029632C">
        <w:t xml:space="preserve"> </w:t>
      </w:r>
    </w:p>
    <w:p w14:paraId="2EED548B" w14:textId="77777777" w:rsidR="00E96797" w:rsidRDefault="00400778" w:rsidP="00A23959">
      <w:pPr>
        <w:pStyle w:val="ListParagraph"/>
        <w:numPr>
          <w:ilvl w:val="0"/>
          <w:numId w:val="69"/>
        </w:numPr>
      </w:pPr>
      <w:r w:rsidRPr="00C155B6">
        <w:rPr>
          <w:i/>
        </w:rPr>
        <w:t>System v</w:t>
      </w:r>
      <w:r w:rsidRPr="00A23959">
        <w:rPr>
          <w:i/>
        </w:rPr>
        <w:t>ersion d</w:t>
      </w:r>
      <w:r w:rsidR="00E96797" w:rsidRPr="00A23959">
        <w:rPr>
          <w:i/>
        </w:rPr>
        <w:t>evelopment</w:t>
      </w:r>
      <w:r w:rsidR="001952C7" w:rsidRPr="00C155B6">
        <w:rPr>
          <w:i/>
        </w:rPr>
        <w:t>,</w:t>
      </w:r>
      <w:r w:rsidR="00E96797">
        <w:t xml:space="preserve"> which includes the version design, development, </w:t>
      </w:r>
      <w:r>
        <w:t xml:space="preserve">testing, </w:t>
      </w:r>
      <w:r w:rsidR="00E96797">
        <w:t>and delivery</w:t>
      </w:r>
      <w:r>
        <w:t>;</w:t>
      </w:r>
      <w:r w:rsidR="00ED481F">
        <w:t xml:space="preserve"> and</w:t>
      </w:r>
    </w:p>
    <w:p w14:paraId="61D11902" w14:textId="77777777" w:rsidR="00400778" w:rsidRDefault="00400778" w:rsidP="00A23959">
      <w:pPr>
        <w:pStyle w:val="ListParagraph"/>
        <w:numPr>
          <w:ilvl w:val="0"/>
          <w:numId w:val="58"/>
        </w:numPr>
      </w:pPr>
      <w:r w:rsidRPr="00A23959">
        <w:rPr>
          <w:i/>
        </w:rPr>
        <w:t>User consultation and preparation</w:t>
      </w:r>
      <w:r w:rsidR="0029632C">
        <w:rPr>
          <w:i/>
        </w:rPr>
        <w:t>,</w:t>
      </w:r>
      <w:r>
        <w:t xml:space="preserve"> encompassing the refinement of user requirements uptake and the user preparation by outreach and training</w:t>
      </w:r>
      <w:r w:rsidR="00ED481F">
        <w:t>.</w:t>
      </w:r>
    </w:p>
    <w:p w14:paraId="2DB94AA1" w14:textId="56CECAC8" w:rsidR="00400778" w:rsidRDefault="00400778" w:rsidP="00A23959">
      <w:pPr>
        <w:ind w:left="72"/>
      </w:pPr>
      <w:r>
        <w:t>Th</w:t>
      </w:r>
      <w:r w:rsidR="0029632C">
        <w:t>e</w:t>
      </w:r>
      <w:r>
        <w:t xml:space="preserve">se </w:t>
      </w:r>
      <w:r w:rsidR="0029632C">
        <w:t xml:space="preserve">two streams </w:t>
      </w:r>
      <w:proofErr w:type="gramStart"/>
      <w:r>
        <w:t>will be supplemented</w:t>
      </w:r>
      <w:proofErr w:type="gramEnd"/>
      <w:r>
        <w:t xml:space="preserve"> by</w:t>
      </w:r>
      <w:r w:rsidR="0029632C">
        <w:t>:</w:t>
      </w:r>
    </w:p>
    <w:p w14:paraId="3870C15B" w14:textId="77777777" w:rsidR="00400778" w:rsidRDefault="00400778" w:rsidP="00A23959">
      <w:pPr>
        <w:pStyle w:val="ListParagraph"/>
        <w:numPr>
          <w:ilvl w:val="0"/>
          <w:numId w:val="59"/>
        </w:numPr>
      </w:pPr>
      <w:r w:rsidRPr="00A23959">
        <w:rPr>
          <w:i/>
        </w:rPr>
        <w:t>System engineering support</w:t>
      </w:r>
      <w:r w:rsidR="0029632C">
        <w:rPr>
          <w:i/>
        </w:rPr>
        <w:t>,</w:t>
      </w:r>
      <w:r w:rsidR="008767E4">
        <w:t xml:space="preserve"> including the apportionment of requirements, planning (tasks, V&amp;V, development etc.)</w:t>
      </w:r>
      <w:proofErr w:type="gramStart"/>
      <w:r w:rsidR="008767E4">
        <w:t>;</w:t>
      </w:r>
      <w:proofErr w:type="gramEnd"/>
      <w:r w:rsidR="008767E4">
        <w:t xml:space="preserve"> </w:t>
      </w:r>
    </w:p>
    <w:p w14:paraId="58B682BE" w14:textId="5646334C" w:rsidR="00400778" w:rsidRDefault="008767E4" w:rsidP="00A23959">
      <w:pPr>
        <w:pStyle w:val="ListParagraph"/>
        <w:numPr>
          <w:ilvl w:val="0"/>
          <w:numId w:val="59"/>
        </w:numPr>
      </w:pPr>
      <w:r w:rsidRPr="00A23959">
        <w:rPr>
          <w:i/>
        </w:rPr>
        <w:t>Operational governance</w:t>
      </w:r>
      <w:r w:rsidR="0029632C">
        <w:rPr>
          <w:i/>
        </w:rPr>
        <w:t>,</w:t>
      </w:r>
      <w:r>
        <w:t xml:space="preserve"> </w:t>
      </w:r>
      <w:r w:rsidR="0029632C">
        <w:t>accommodating</w:t>
      </w:r>
      <w:r>
        <w:t xml:space="preserve"> the management approach, data policy, and provisional user support; </w:t>
      </w:r>
      <w:r w:rsidR="00ED481F">
        <w:t>and</w:t>
      </w:r>
    </w:p>
    <w:p w14:paraId="6CC2A630" w14:textId="77777777" w:rsidR="008767E4" w:rsidRPr="00A23959" w:rsidRDefault="00ED481F" w:rsidP="00A23959">
      <w:pPr>
        <w:pStyle w:val="ListParagraph"/>
        <w:numPr>
          <w:ilvl w:val="0"/>
          <w:numId w:val="59"/>
        </w:numPr>
      </w:pPr>
      <w:r>
        <w:rPr>
          <w:i/>
        </w:rPr>
        <w:t>System performance measures and optimization.</w:t>
      </w:r>
    </w:p>
    <w:p w14:paraId="026E6040" w14:textId="27899728" w:rsidR="00ED481F" w:rsidRDefault="0029632C">
      <w:r>
        <w:t>The s</w:t>
      </w:r>
      <w:r w:rsidR="00ED481F">
        <w:t xml:space="preserve">tarting point will be the prototype </w:t>
      </w:r>
      <w:r>
        <w:t xml:space="preserve">system </w:t>
      </w:r>
      <w:r w:rsidR="00ED481F">
        <w:t xml:space="preserve">with the goal to achieve </w:t>
      </w:r>
      <w:r w:rsidR="00FD59C9">
        <w:t xml:space="preserve">more detailed </w:t>
      </w:r>
      <w:r w:rsidR="00ED481F">
        <w:t>functional building blocks for the operational implementation</w:t>
      </w:r>
      <w:r>
        <w:t>,</w:t>
      </w:r>
      <w:r w:rsidR="00ED481F">
        <w:t xml:space="preserve"> which </w:t>
      </w:r>
      <w:proofErr w:type="gramStart"/>
      <w:r w:rsidR="00ED481F">
        <w:t>may be updated</w:t>
      </w:r>
      <w:proofErr w:type="gramEnd"/>
      <w:r w:rsidR="00ED481F">
        <w:t xml:space="preserve"> </w:t>
      </w:r>
      <w:r w:rsidR="00993DEC">
        <w:t xml:space="preserve">gradually </w:t>
      </w:r>
      <w:r w:rsidR="00ED481F">
        <w:t xml:space="preserve">in a version process </w:t>
      </w:r>
      <w:r w:rsidR="00993DEC">
        <w:t>that incorporates</w:t>
      </w:r>
      <w:r w:rsidR="002810A3">
        <w:t xml:space="preserve"> user feedback, lessons learn</w:t>
      </w:r>
      <w:r>
        <w:t>ed</w:t>
      </w:r>
      <w:r w:rsidR="002810A3">
        <w:t xml:space="preserve">, and </w:t>
      </w:r>
      <w:r w:rsidR="00993DEC">
        <w:t xml:space="preserve">a </w:t>
      </w:r>
      <w:r w:rsidR="002810A3">
        <w:t>requirements refinement loop.</w:t>
      </w:r>
      <w:r w:rsidR="00FD59C9">
        <w:t xml:space="preserve"> Those loops </w:t>
      </w:r>
      <w:proofErr w:type="gramStart"/>
      <w:r w:rsidR="00FD59C9">
        <w:t>will be initiated</w:t>
      </w:r>
      <w:proofErr w:type="gramEnd"/>
      <w:r w:rsidR="00FD59C9">
        <w:t xml:space="preserve"> in parallel to the development of the prototype</w:t>
      </w:r>
      <w:r w:rsidR="00993DEC">
        <w:t xml:space="preserve"> system</w:t>
      </w:r>
      <w:r w:rsidR="00FD59C9">
        <w:t>.</w:t>
      </w:r>
    </w:p>
    <w:p w14:paraId="5F6F1E70" w14:textId="7FCD14C8" w:rsidR="00AA7219" w:rsidRPr="0080462B" w:rsidRDefault="00287EB0" w:rsidP="00E544D3">
      <w:pPr>
        <w:pStyle w:val="Heading1"/>
      </w:pPr>
      <w:bookmarkStart w:id="31" w:name="_Toc21714993"/>
      <w:r w:rsidRPr="001D304D">
        <w:t>CEOS and CGMS Implementation Entities and Roles</w:t>
      </w:r>
      <w:bookmarkEnd w:id="31"/>
    </w:p>
    <w:p w14:paraId="44EF8874" w14:textId="6FBAC717" w:rsidR="008952C8" w:rsidRDefault="00287EB0" w:rsidP="00E76100">
      <w:pPr>
        <w:jc w:val="left"/>
        <w:rPr>
          <w:color w:val="000000"/>
        </w:rPr>
      </w:pPr>
      <w:r>
        <w:t>The 32</w:t>
      </w:r>
      <w:r>
        <w:rPr>
          <w:vertAlign w:val="superscript"/>
        </w:rPr>
        <w:t>nd</w:t>
      </w:r>
      <w:r>
        <w:t xml:space="preserve"> CEOS Plenary </w:t>
      </w:r>
      <w:r w:rsidR="00622A67">
        <w:t xml:space="preserve">requested </w:t>
      </w:r>
      <w:r>
        <w:t xml:space="preserve">that </w:t>
      </w:r>
      <w:proofErr w:type="spellStart"/>
      <w:r>
        <w:t>WGClimate</w:t>
      </w:r>
      <w:proofErr w:type="spellEnd"/>
      <w:r>
        <w:t xml:space="preserve"> coordinate the joint effort between CEOS and CGMS to monitor GHGs</w:t>
      </w:r>
      <w:r w:rsidR="00657E23">
        <w:t xml:space="preserve">.  </w:t>
      </w:r>
      <w:proofErr w:type="spellStart"/>
      <w:r w:rsidR="00657E23">
        <w:t>WGClimate</w:t>
      </w:r>
      <w:proofErr w:type="spellEnd"/>
      <w:r w:rsidR="00657E23">
        <w:t xml:space="preserve"> </w:t>
      </w:r>
      <w:proofErr w:type="gramStart"/>
      <w:r w:rsidR="00657E23">
        <w:t>was directed</w:t>
      </w:r>
      <w:proofErr w:type="gramEnd"/>
      <w:r w:rsidR="00657E23">
        <w:t xml:space="preserve"> to </w:t>
      </w:r>
      <w:r w:rsidR="00414D57">
        <w:rPr>
          <w:color w:val="000000"/>
        </w:rPr>
        <w:t>form</w:t>
      </w:r>
      <w:r>
        <w:rPr>
          <w:color w:val="000000"/>
        </w:rPr>
        <w:t xml:space="preserve"> </w:t>
      </w:r>
      <w:r w:rsidR="00414D57" w:rsidRPr="00414D57">
        <w:rPr>
          <w:color w:val="000000"/>
        </w:rPr>
        <w:t xml:space="preserve">a GHG Monitoring Task Team </w:t>
      </w:r>
      <w:r w:rsidR="00414D57">
        <w:rPr>
          <w:color w:val="000000"/>
        </w:rPr>
        <w:t xml:space="preserve">to </w:t>
      </w:r>
      <w:r w:rsidR="00021292">
        <w:rPr>
          <w:color w:val="000000"/>
        </w:rPr>
        <w:t>coordinate</w:t>
      </w:r>
      <w:r w:rsidR="00414D57">
        <w:rPr>
          <w:color w:val="000000"/>
        </w:rPr>
        <w:t xml:space="preserve"> the CEOS Carbon Strategy and develop</w:t>
      </w:r>
      <w:r w:rsidR="00414D57" w:rsidRPr="00414D57">
        <w:rPr>
          <w:color w:val="000000"/>
        </w:rPr>
        <w:t xml:space="preserve"> </w:t>
      </w:r>
      <w:r w:rsidR="00414D57">
        <w:rPr>
          <w:color w:val="000000"/>
        </w:rPr>
        <w:t>a</w:t>
      </w:r>
      <w:r w:rsidR="00414D57" w:rsidRPr="00414D57">
        <w:rPr>
          <w:color w:val="000000"/>
        </w:rPr>
        <w:t xml:space="preserve"> </w:t>
      </w:r>
      <w:r w:rsidR="00414D57">
        <w:rPr>
          <w:color w:val="000000"/>
        </w:rPr>
        <w:t>GHG</w:t>
      </w:r>
      <w:r w:rsidR="00414D57" w:rsidRPr="00414D57">
        <w:rPr>
          <w:color w:val="000000"/>
        </w:rPr>
        <w:t xml:space="preserve"> </w:t>
      </w:r>
      <w:r w:rsidR="00021292">
        <w:rPr>
          <w:color w:val="000000"/>
        </w:rPr>
        <w:t xml:space="preserve">monitoring </w:t>
      </w:r>
      <w:r w:rsidR="00414D57">
        <w:rPr>
          <w:color w:val="000000"/>
        </w:rPr>
        <w:t>roadmap based on activities proposed in the AC-VC GHG Whitepaper</w:t>
      </w:r>
      <w:r>
        <w:rPr>
          <w:color w:val="000000"/>
        </w:rPr>
        <w:t>.</w:t>
      </w:r>
      <w:r w:rsidR="00657E23">
        <w:rPr>
          <w:color w:val="000000"/>
        </w:rPr>
        <w:t xml:space="preserve"> </w:t>
      </w:r>
      <w:r w:rsidR="003E46BA">
        <w:rPr>
          <w:color w:val="000000"/>
        </w:rPr>
        <w:t xml:space="preserve"> This included </w:t>
      </w:r>
      <w:r>
        <w:rPr>
          <w:color w:val="000000"/>
        </w:rPr>
        <w:t>establish</w:t>
      </w:r>
      <w:r w:rsidR="003E46BA">
        <w:rPr>
          <w:color w:val="000000"/>
        </w:rPr>
        <w:t>ing</w:t>
      </w:r>
      <w:r>
        <w:rPr>
          <w:color w:val="000000"/>
        </w:rPr>
        <w:t xml:space="preserve"> appropriate links and cross-representation with AC-VC</w:t>
      </w:r>
      <w:r w:rsidR="00E76100">
        <w:rPr>
          <w:color w:val="000000"/>
        </w:rPr>
        <w:t xml:space="preserve">, </w:t>
      </w:r>
      <w:r>
        <w:rPr>
          <w:color w:val="000000"/>
        </w:rPr>
        <w:t>the WGCV Atmospheric Composition subgroup</w:t>
      </w:r>
      <w:r w:rsidR="003E46BA">
        <w:rPr>
          <w:color w:val="000000"/>
        </w:rPr>
        <w:t xml:space="preserve"> </w:t>
      </w:r>
      <w:r w:rsidR="00C155B6">
        <w:rPr>
          <w:color w:val="000000"/>
        </w:rPr>
        <w:t xml:space="preserve">(ACSG) </w:t>
      </w:r>
      <w:r w:rsidR="00E76100">
        <w:rPr>
          <w:color w:val="000000"/>
        </w:rPr>
        <w:t xml:space="preserve">and other CEOS and CGMS entities </w:t>
      </w:r>
      <w:r w:rsidR="003E46BA">
        <w:rPr>
          <w:color w:val="000000"/>
        </w:rPr>
        <w:t>and identifying the resourced needed to execute</w:t>
      </w:r>
      <w:r w:rsidR="00E76100">
        <w:rPr>
          <w:color w:val="000000"/>
        </w:rPr>
        <w:t xml:space="preserve"> the actions identified in</w:t>
      </w:r>
      <w:r w:rsidR="003E46BA">
        <w:rPr>
          <w:color w:val="000000"/>
        </w:rPr>
        <w:t xml:space="preserve"> this roadmap. </w:t>
      </w:r>
      <w:r w:rsidR="00E76100">
        <w:rPr>
          <w:color w:val="000000"/>
        </w:rPr>
        <w:t>The 32</w:t>
      </w:r>
      <w:r w:rsidR="00E76100" w:rsidRPr="00021292">
        <w:rPr>
          <w:color w:val="000000"/>
          <w:vertAlign w:val="superscript"/>
        </w:rPr>
        <w:t>nd</w:t>
      </w:r>
      <w:r w:rsidR="00E76100">
        <w:rPr>
          <w:color w:val="000000"/>
        </w:rPr>
        <w:t xml:space="preserve"> </w:t>
      </w:r>
      <w:r w:rsidR="00E76100" w:rsidRPr="00E76100">
        <w:rPr>
          <w:color w:val="000000"/>
        </w:rPr>
        <w:t xml:space="preserve">Plenary also endorsed the revision of the Terms of Reference of the </w:t>
      </w:r>
      <w:proofErr w:type="spellStart"/>
      <w:r w:rsidR="00E76100" w:rsidRPr="00E76100">
        <w:rPr>
          <w:color w:val="000000"/>
        </w:rPr>
        <w:t>WGClimate</w:t>
      </w:r>
      <w:proofErr w:type="spellEnd"/>
      <w:r w:rsidR="00E76100" w:rsidRPr="00E76100">
        <w:rPr>
          <w:color w:val="000000"/>
        </w:rPr>
        <w:t xml:space="preserve"> to accommodate these changes</w:t>
      </w:r>
      <w:r w:rsidR="00C155B6">
        <w:rPr>
          <w:color w:val="000000"/>
        </w:rPr>
        <w:t xml:space="preserve"> (Figure 2)</w:t>
      </w:r>
      <w:r>
        <w:rPr>
          <w:color w:val="000000"/>
        </w:rPr>
        <w:t>.</w:t>
      </w:r>
    </w:p>
    <w:p w14:paraId="3452ABD9" w14:textId="77777777" w:rsidR="008952C8" w:rsidRDefault="008952C8" w:rsidP="00E76100">
      <w:pPr>
        <w:jc w:val="left"/>
        <w:rPr>
          <w:color w:val="000000"/>
        </w:rPr>
      </w:pPr>
    </w:p>
    <w:p w14:paraId="67EE0A77" w14:textId="463F0021" w:rsidR="00330A6B" w:rsidRDefault="008952C8" w:rsidP="00E27DD3">
      <w:pPr>
        <w:jc w:val="center"/>
      </w:pPr>
      <w:r>
        <w:rPr>
          <w:noProof/>
          <w:color w:val="000000"/>
        </w:rPr>
        <w:lastRenderedPageBreak/>
        <w:drawing>
          <wp:inline distT="0" distB="0" distL="0" distR="0" wp14:anchorId="4595FA8C" wp14:editId="1A21253D">
            <wp:extent cx="4089400" cy="260985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Update.png"/>
                    <pic:cNvPicPr/>
                  </pic:nvPicPr>
                  <pic:blipFill rotWithShape="1">
                    <a:blip r:embed="rId9">
                      <a:extLst>
                        <a:ext uri="{28A0092B-C50C-407E-A947-70E740481C1C}">
                          <a14:useLocalDpi xmlns:a14="http://schemas.microsoft.com/office/drawing/2010/main" val="0"/>
                        </a:ext>
                      </a:extLst>
                    </a:blip>
                    <a:srcRect b="14907"/>
                    <a:stretch/>
                  </pic:blipFill>
                  <pic:spPr bwMode="auto">
                    <a:xfrm>
                      <a:off x="0" y="0"/>
                      <a:ext cx="4089600" cy="2609978"/>
                    </a:xfrm>
                    <a:prstGeom prst="rect">
                      <a:avLst/>
                    </a:prstGeom>
                    <a:ln>
                      <a:noFill/>
                    </a:ln>
                    <a:extLst>
                      <a:ext uri="{53640926-AAD7-44D8-BBD7-CCE9431645EC}">
                        <a14:shadowObscured xmlns:a14="http://schemas.microsoft.com/office/drawing/2010/main"/>
                      </a:ext>
                    </a:extLst>
                  </pic:spPr>
                </pic:pic>
              </a:graphicData>
            </a:graphic>
          </wp:inline>
        </w:drawing>
      </w:r>
    </w:p>
    <w:p w14:paraId="32146CCB" w14:textId="20187073" w:rsidR="008952C8" w:rsidRDefault="008952C8" w:rsidP="008952C8">
      <w:pPr>
        <w:rPr>
          <w:i/>
        </w:rPr>
      </w:pPr>
      <w:r>
        <w:rPr>
          <w:i/>
        </w:rPr>
        <w:t>Figure 2:</w:t>
      </w:r>
      <w:r w:rsidR="00C155B6">
        <w:rPr>
          <w:i/>
        </w:rPr>
        <w:t xml:space="preserve"> </w:t>
      </w:r>
      <w:r w:rsidR="00B138F1">
        <w:rPr>
          <w:i/>
        </w:rPr>
        <w:t xml:space="preserve">CEOS and CGMS entities currently included in the task team. </w:t>
      </w:r>
      <w:r w:rsidR="00FF2621">
        <w:rPr>
          <w:i/>
        </w:rPr>
        <w:t>A</w:t>
      </w:r>
      <w:r w:rsidR="00B138F1">
        <w:rPr>
          <w:i/>
        </w:rPr>
        <w:t>t a later stage</w:t>
      </w:r>
      <w:r w:rsidR="00FF2621">
        <w:rPr>
          <w:i/>
        </w:rPr>
        <w:t>,</w:t>
      </w:r>
      <w:r w:rsidR="00B138F1">
        <w:rPr>
          <w:i/>
        </w:rPr>
        <w:t xml:space="preserve"> additional entities may contribute.</w:t>
      </w:r>
    </w:p>
    <w:p w14:paraId="549E815C" w14:textId="77777777" w:rsidR="00330A6B" w:rsidRDefault="00330A6B" w:rsidP="008952C8"/>
    <w:p w14:paraId="1F4002ED" w14:textId="77777777" w:rsidR="00B138F1" w:rsidRDefault="00762EBD" w:rsidP="00A23959">
      <w:pPr>
        <w:pStyle w:val="Heading2"/>
      </w:pPr>
      <w:bookmarkStart w:id="32" w:name="_Toc21714994"/>
      <w:r>
        <w:t xml:space="preserve">Role of </w:t>
      </w:r>
      <w:proofErr w:type="spellStart"/>
      <w:r>
        <w:t>WGClimate</w:t>
      </w:r>
      <w:proofErr w:type="spellEnd"/>
      <w:r>
        <w:t xml:space="preserve"> and the GHG Task Team</w:t>
      </w:r>
      <w:bookmarkEnd w:id="32"/>
    </w:p>
    <w:p w14:paraId="75BCEE0C" w14:textId="33883455" w:rsidR="00737052" w:rsidRDefault="00762EBD">
      <w:r>
        <w:t xml:space="preserve">As mentioned </w:t>
      </w:r>
      <w:r w:rsidR="00C155B6">
        <w:t>above</w:t>
      </w:r>
      <w:r>
        <w:t xml:space="preserve">, </w:t>
      </w:r>
      <w:proofErr w:type="spellStart"/>
      <w:r>
        <w:t>WGClimate</w:t>
      </w:r>
      <w:proofErr w:type="spellEnd"/>
      <w:r>
        <w:t xml:space="preserve"> </w:t>
      </w:r>
      <w:proofErr w:type="gramStart"/>
      <w:r w:rsidR="00C155B6">
        <w:t>was identified</w:t>
      </w:r>
      <w:proofErr w:type="gramEnd"/>
      <w:r>
        <w:t xml:space="preserve"> by CEOS and CGMS as the coordination link for the GHG monitoring activities. Based on its experience as joint working group, direct links were established for reporting and approval </w:t>
      </w:r>
      <w:proofErr w:type="gramStart"/>
      <w:r w:rsidR="00C155B6">
        <w:t>and</w:t>
      </w:r>
      <w:r>
        <w:t xml:space="preserve"> also</w:t>
      </w:r>
      <w:proofErr w:type="gramEnd"/>
      <w:r>
        <w:t xml:space="preserve"> </w:t>
      </w:r>
      <w:r w:rsidR="00C155B6">
        <w:t>for integrating and</w:t>
      </w:r>
      <w:r>
        <w:t xml:space="preserve"> balanc</w:t>
      </w:r>
      <w:r w:rsidR="00C155B6">
        <w:t>ing</w:t>
      </w:r>
      <w:r>
        <w:t xml:space="preserve"> the work plans of both CE</w:t>
      </w:r>
      <w:r w:rsidR="00C155B6">
        <w:t>O</w:t>
      </w:r>
      <w:r>
        <w:t xml:space="preserve">S and CGMS. A key component is the interaction </w:t>
      </w:r>
      <w:r w:rsidR="0039712E">
        <w:t xml:space="preserve">with UNFCCC, SBSTA, and the COP </w:t>
      </w:r>
      <w:r>
        <w:t>of behalf of CEOS and CGMS</w:t>
      </w:r>
      <w:r w:rsidR="0039712E">
        <w:t>,</w:t>
      </w:r>
      <w:r>
        <w:t xml:space="preserve"> providing insight to the space agencies’ activities to the primary user communities.</w:t>
      </w:r>
    </w:p>
    <w:p w14:paraId="24C1F1E4" w14:textId="4C39A344" w:rsidR="00AA7219" w:rsidRPr="00AA7219" w:rsidRDefault="00ED72E3" w:rsidP="00737052">
      <w:r>
        <w:t>Exploiting the</w:t>
      </w:r>
      <w:r w:rsidR="00737052">
        <w:t xml:space="preserve"> </w:t>
      </w:r>
      <w:r>
        <w:t>existence of</w:t>
      </w:r>
      <w:r w:rsidR="00737052">
        <w:t xml:space="preserve"> joint working group and </w:t>
      </w:r>
      <w:r>
        <w:t>its</w:t>
      </w:r>
      <w:r w:rsidR="0039712E">
        <w:t xml:space="preserve"> </w:t>
      </w:r>
      <w:r w:rsidR="00737052">
        <w:t xml:space="preserve">links to UNFCCC, SBSTA, and GCOS, </w:t>
      </w:r>
      <w:r w:rsidR="00AA7219" w:rsidRPr="00AA7219">
        <w:t xml:space="preserve">a dedicated task team </w:t>
      </w:r>
      <w:r w:rsidR="00E544D3">
        <w:t xml:space="preserve">was formulated </w:t>
      </w:r>
      <w:r w:rsidR="00AA7219" w:rsidRPr="00AA7219">
        <w:t xml:space="preserve">within </w:t>
      </w:r>
      <w:proofErr w:type="spellStart"/>
      <w:r w:rsidR="00AA7219" w:rsidRPr="00AA7219">
        <w:t>WGClimate</w:t>
      </w:r>
      <w:proofErr w:type="spellEnd"/>
      <w:r w:rsidR="00737052">
        <w:t xml:space="preserve"> at its 11</w:t>
      </w:r>
      <w:r w:rsidR="00737052" w:rsidRPr="00A23959">
        <w:rPr>
          <w:vertAlign w:val="superscript"/>
        </w:rPr>
        <w:t>th</w:t>
      </w:r>
      <w:r w:rsidR="00737052">
        <w:t xml:space="preserve"> meeting</w:t>
      </w:r>
      <w:r w:rsidR="00AA7219" w:rsidRPr="00AA7219">
        <w:t xml:space="preserve">, </w:t>
      </w:r>
      <w:r w:rsidR="00E544D3">
        <w:t xml:space="preserve">with a </w:t>
      </w:r>
      <w:r w:rsidR="00AA7219" w:rsidRPr="00AA7219">
        <w:t xml:space="preserve">leader and a deputy with </w:t>
      </w:r>
      <w:proofErr w:type="gramStart"/>
      <w:r w:rsidR="00AA7219" w:rsidRPr="00AA7219">
        <w:t xml:space="preserve">nominal </w:t>
      </w:r>
      <w:r w:rsidR="0039712E">
        <w:t xml:space="preserve"> 2</w:t>
      </w:r>
      <w:proofErr w:type="gramEnd"/>
      <w:r w:rsidR="0039712E">
        <w:t>-year</w:t>
      </w:r>
      <w:r w:rsidR="0039712E" w:rsidRPr="00AA7219">
        <w:t xml:space="preserve"> </w:t>
      </w:r>
      <w:r w:rsidR="0039712E">
        <w:t xml:space="preserve"> </w:t>
      </w:r>
      <w:r w:rsidR="00AA7219" w:rsidRPr="00AA7219">
        <w:t xml:space="preserve">terms. The </w:t>
      </w:r>
      <w:proofErr w:type="spellStart"/>
      <w:r w:rsidR="00AA7219" w:rsidRPr="00AA7219">
        <w:t>WGClimate</w:t>
      </w:r>
      <w:proofErr w:type="spellEnd"/>
      <w:r w:rsidR="00AA7219" w:rsidRPr="00AA7219">
        <w:t xml:space="preserve"> Chair selects the leader</w:t>
      </w:r>
      <w:r w:rsidR="0039712E">
        <w:t xml:space="preserve">, while </w:t>
      </w:r>
      <w:r w:rsidR="00622A67">
        <w:t>t</w:t>
      </w:r>
      <w:r w:rsidR="00AA7219" w:rsidRPr="00AA7219">
        <w:t xml:space="preserve">he deputy will always be the Vice Chair of the </w:t>
      </w:r>
      <w:proofErr w:type="spellStart"/>
      <w:r w:rsidR="00AA7219" w:rsidRPr="00AA7219">
        <w:t>WGClimate</w:t>
      </w:r>
      <w:proofErr w:type="spellEnd"/>
      <w:r w:rsidR="00AA7219" w:rsidRPr="00AA7219">
        <w:t xml:space="preserve"> to assure the coordination with the WG Chair</w:t>
      </w:r>
      <w:r w:rsidR="0039712E">
        <w:t xml:space="preserve">. </w:t>
      </w:r>
      <w:r w:rsidR="00AA7219" w:rsidRPr="00AA7219">
        <w:t xml:space="preserve">. The Vice Chair would never become the Task Team leader. Representation of CEOS and CGMS bodies </w:t>
      </w:r>
      <w:proofErr w:type="gramStart"/>
      <w:r w:rsidR="00AA7219" w:rsidRPr="00AA7219">
        <w:t>is achieved</w:t>
      </w:r>
      <w:proofErr w:type="gramEnd"/>
      <w:r w:rsidR="00AA7219" w:rsidRPr="00AA7219">
        <w:t xml:space="preserve"> by identifying Point</w:t>
      </w:r>
      <w:r w:rsidR="00E544D3">
        <w:t>s</w:t>
      </w:r>
      <w:r w:rsidR="00AA7219" w:rsidRPr="00AA7219">
        <w:t xml:space="preserve"> of Contact (</w:t>
      </w:r>
      <w:proofErr w:type="spellStart"/>
      <w:r w:rsidR="00AA7219" w:rsidRPr="00AA7219">
        <w:t>PoCs</w:t>
      </w:r>
      <w:proofErr w:type="spellEnd"/>
      <w:r w:rsidR="00AA7219" w:rsidRPr="00AA7219">
        <w:t xml:space="preserve">) for tasks </w:t>
      </w:r>
      <w:r w:rsidR="0039712E">
        <w:t>to be executed</w:t>
      </w:r>
      <w:r w:rsidR="00AA7219" w:rsidRPr="00AA7219">
        <w:t xml:space="preserve"> </w:t>
      </w:r>
      <w:r w:rsidR="00E544D3">
        <w:t>by</w:t>
      </w:r>
      <w:r w:rsidR="00AA7219" w:rsidRPr="00AA7219">
        <w:t xml:space="preserve"> the contributing CEOS and CGMS bodies (AC-VC, WGCV/ACSG, GSICS/UVWG, etc.). </w:t>
      </w:r>
      <w:r w:rsidR="00F630EC">
        <w:t xml:space="preserve">The meetings of the Task Team will </w:t>
      </w:r>
      <w:r w:rsidR="0039712E">
        <w:t xml:space="preserve">optimally </w:t>
      </w:r>
      <w:r w:rsidR="00F630EC">
        <w:t xml:space="preserve">be side-by-side with a </w:t>
      </w:r>
      <w:proofErr w:type="spellStart"/>
      <w:r w:rsidR="00F630EC">
        <w:t>WGClimate</w:t>
      </w:r>
      <w:proofErr w:type="spellEnd"/>
      <w:r w:rsidR="00F630EC">
        <w:t xml:space="preserve"> meeting</w:t>
      </w:r>
      <w:r w:rsidR="0039712E">
        <w:t>,</w:t>
      </w:r>
      <w:r w:rsidR="00F630EC">
        <w:t xml:space="preserve"> allowing </w:t>
      </w:r>
      <w:r w:rsidR="0039712E">
        <w:t xml:space="preserve">CEOS and CGMS </w:t>
      </w:r>
      <w:r w:rsidR="00F630EC">
        <w:t>agencies</w:t>
      </w:r>
      <w:r w:rsidR="0039712E">
        <w:t xml:space="preserve"> to</w:t>
      </w:r>
      <w:r w:rsidR="00F630EC">
        <w:t xml:space="preserve"> participat</w:t>
      </w:r>
      <w:r w:rsidR="0039712E">
        <w:t>e</w:t>
      </w:r>
      <w:r w:rsidR="00F630EC">
        <w:t xml:space="preserve"> </w:t>
      </w:r>
      <w:r w:rsidR="0039712E">
        <w:t xml:space="preserve">in </w:t>
      </w:r>
      <w:r w:rsidR="00F630EC">
        <w:t>both, and offering a transparent insight into the progress of the initiative and its activities.</w:t>
      </w:r>
    </w:p>
    <w:p w14:paraId="3F696C21" w14:textId="2C7270D4" w:rsidR="00AA7219" w:rsidRPr="00AA7219" w:rsidRDefault="0071779B" w:rsidP="00AA7219">
      <w:r>
        <w:t xml:space="preserve">The </w:t>
      </w:r>
      <w:r w:rsidR="00737052">
        <w:t>approach</w:t>
      </w:r>
      <w:r>
        <w:t xml:space="preserve"> </w:t>
      </w:r>
      <w:proofErr w:type="gramStart"/>
      <w:r w:rsidR="00202C49">
        <w:t>was</w:t>
      </w:r>
      <w:r>
        <w:t xml:space="preserve"> adopted by </w:t>
      </w:r>
      <w:proofErr w:type="spellStart"/>
      <w:r>
        <w:t>WGClimate</w:t>
      </w:r>
      <w:proofErr w:type="spellEnd"/>
      <w:r>
        <w:t xml:space="preserve"> and endorsed by CEOS</w:t>
      </w:r>
      <w:r w:rsidR="00A24B6D">
        <w:t xml:space="preserve"> and CGMS</w:t>
      </w:r>
      <w:proofErr w:type="gramEnd"/>
      <w:r w:rsidR="00AA7219" w:rsidRPr="00AA7219">
        <w:t>.</w:t>
      </w:r>
      <w:r>
        <w:t xml:space="preserve"> The current composition of the Task Team </w:t>
      </w:r>
      <w:proofErr w:type="gramStart"/>
      <w:r>
        <w:t>is given</w:t>
      </w:r>
      <w:proofErr w:type="gramEnd"/>
      <w:r>
        <w:t xml:space="preserve"> in annex</w:t>
      </w:r>
      <w:r w:rsidR="00202C49">
        <w:t xml:space="preserve">. </w:t>
      </w:r>
      <w:r w:rsidR="0096770B">
        <w:t>The lead update of the task team will b</w:t>
      </w:r>
      <w:r w:rsidR="00762EBD">
        <w:t>e in 2021</w:t>
      </w:r>
      <w:r w:rsidR="0096770B">
        <w:t>.</w:t>
      </w:r>
    </w:p>
    <w:p w14:paraId="4A65FF96" w14:textId="3EC2921D" w:rsidR="00AA7219" w:rsidRPr="00AA7219" w:rsidRDefault="00AA7219" w:rsidP="00AA7219">
      <w:r w:rsidRPr="00AA7219">
        <w:t xml:space="preserve">The </w:t>
      </w:r>
      <w:r w:rsidR="00202C49">
        <w:t>principal</w:t>
      </w:r>
      <w:r w:rsidR="00A24B6D">
        <w:t xml:space="preserve"> responsibility of the task team is the coordination of all CEOS and CGMS efforts with respect to the implementation of the recommendations of the GHG white paper outlined in</w:t>
      </w:r>
      <w:r w:rsidRPr="00AA7219">
        <w:t xml:space="preserve"> three major milestones:</w:t>
      </w:r>
    </w:p>
    <w:p w14:paraId="460AEFEA" w14:textId="0ED12802" w:rsidR="00AA7219" w:rsidRPr="00AA7219" w:rsidRDefault="00AA7219" w:rsidP="00AA7219">
      <w:pPr>
        <w:numPr>
          <w:ilvl w:val="0"/>
          <w:numId w:val="9"/>
        </w:numPr>
      </w:pPr>
      <w:r w:rsidRPr="00AA7219">
        <w:t xml:space="preserve">support </w:t>
      </w:r>
      <w:r w:rsidR="001A30D7">
        <w:t>for</w:t>
      </w:r>
      <w:r w:rsidRPr="00AA7219">
        <w:t xml:space="preserve"> the first UNFCCC </w:t>
      </w:r>
      <w:proofErr w:type="spellStart"/>
      <w:r w:rsidRPr="00AA7219">
        <w:t>stocktake</w:t>
      </w:r>
      <w:proofErr w:type="spellEnd"/>
      <w:r w:rsidRPr="00AA7219">
        <w:t xml:space="preserve"> in 2023 with a prototype</w:t>
      </w:r>
      <w:r w:rsidR="00401895">
        <w:t xml:space="preserve"> system</w:t>
      </w:r>
      <w:r w:rsidRPr="00AA7219">
        <w:t xml:space="preserve"> available in 2021/22;</w:t>
      </w:r>
    </w:p>
    <w:p w14:paraId="2CA2B65B" w14:textId="7F66FEEB" w:rsidR="00AA7219" w:rsidRPr="00AA7219" w:rsidRDefault="00AA7219" w:rsidP="00AA7219">
      <w:pPr>
        <w:numPr>
          <w:ilvl w:val="0"/>
          <w:numId w:val="9"/>
        </w:numPr>
      </w:pPr>
      <w:r w:rsidRPr="00AA7219">
        <w:t xml:space="preserve">support </w:t>
      </w:r>
      <w:r w:rsidR="001A30D7">
        <w:t>for</w:t>
      </w:r>
      <w:r w:rsidRPr="00AA7219">
        <w:t xml:space="preserve"> the second UNFCCC </w:t>
      </w:r>
      <w:proofErr w:type="spellStart"/>
      <w:r w:rsidRPr="00AA7219">
        <w:t>stocktake</w:t>
      </w:r>
      <w:proofErr w:type="spellEnd"/>
      <w:r w:rsidRPr="00AA7219">
        <w:t xml:space="preserve"> in 2028 with an advanced </w:t>
      </w:r>
      <w:r w:rsidR="00401895">
        <w:t xml:space="preserve">GHG </w:t>
      </w:r>
      <w:r w:rsidRPr="00AA7219">
        <w:t>system available in 2026/27</w:t>
      </w:r>
      <w:r w:rsidR="00063AC4">
        <w:t>;</w:t>
      </w:r>
      <w:r w:rsidRPr="00AA7219">
        <w:t xml:space="preserve"> and</w:t>
      </w:r>
    </w:p>
    <w:p w14:paraId="562A742F" w14:textId="3C1A44CC" w:rsidR="00AA7219" w:rsidRPr="00AA7219" w:rsidRDefault="00202C49" w:rsidP="00A23959">
      <w:pPr>
        <w:numPr>
          <w:ilvl w:val="0"/>
          <w:numId w:val="9"/>
        </w:numPr>
      </w:pPr>
      <w:proofErr w:type="gramStart"/>
      <w:r>
        <w:t>design</w:t>
      </w:r>
      <w:proofErr w:type="gramEnd"/>
      <w:r>
        <w:t xml:space="preserve"> </w:t>
      </w:r>
      <w:r w:rsidR="00AA7219" w:rsidRPr="00AA7219">
        <w:t>a</w:t>
      </w:r>
      <w:r w:rsidR="001A30D7">
        <w:t xml:space="preserve"> fully</w:t>
      </w:r>
      <w:r w:rsidR="00AA7219" w:rsidRPr="00AA7219">
        <w:t xml:space="preserve"> operational system available after 2030. </w:t>
      </w:r>
    </w:p>
    <w:p w14:paraId="35B824A3" w14:textId="14CD9361" w:rsidR="00AA7219" w:rsidRDefault="00AA7219" w:rsidP="00AA7219"/>
    <w:p w14:paraId="74625AD4" w14:textId="2D9BA98F" w:rsidR="00330A6B" w:rsidRDefault="00F14F1F">
      <w:r>
        <w:t xml:space="preserve">To support this effort, </w:t>
      </w:r>
      <w:proofErr w:type="spellStart"/>
      <w:r w:rsidR="00287EB0">
        <w:t>WGClimate</w:t>
      </w:r>
      <w:proofErr w:type="spellEnd"/>
      <w:r w:rsidR="00287EB0">
        <w:t xml:space="preserve"> </w:t>
      </w:r>
      <w:r w:rsidR="00E76100">
        <w:t>shall</w:t>
      </w:r>
      <w:r w:rsidR="00287EB0">
        <w:t>:</w:t>
      </w:r>
    </w:p>
    <w:p w14:paraId="7C435A24" w14:textId="47C4AB11" w:rsidR="00330A6B" w:rsidRDefault="00287EB0">
      <w:pPr>
        <w:numPr>
          <w:ilvl w:val="0"/>
          <w:numId w:val="11"/>
        </w:numPr>
        <w:pBdr>
          <w:top w:val="nil"/>
          <w:left w:val="nil"/>
          <w:bottom w:val="nil"/>
          <w:right w:val="nil"/>
          <w:between w:val="nil"/>
        </w:pBdr>
        <w:spacing w:before="120" w:after="0"/>
        <w:rPr>
          <w:color w:val="000000"/>
        </w:rPr>
      </w:pPr>
      <w:r>
        <w:rPr>
          <w:color w:val="000000"/>
        </w:rPr>
        <w:lastRenderedPageBreak/>
        <w:t>Develop and maintain the roadmap</w:t>
      </w:r>
      <w:r w:rsidR="00CB2C61">
        <w:rPr>
          <w:color w:val="000000"/>
        </w:rPr>
        <w:t xml:space="preserve"> within the GHG Task Team</w:t>
      </w:r>
      <w:r w:rsidR="001A30D7">
        <w:rPr>
          <w:color w:val="000000"/>
        </w:rPr>
        <w:t xml:space="preserve"> defining </w:t>
      </w:r>
      <w:r>
        <w:rPr>
          <w:color w:val="000000"/>
        </w:rPr>
        <w:t>the overall distributed work</w:t>
      </w:r>
      <w:r w:rsidR="00CB2C61">
        <w:rPr>
          <w:color w:val="000000"/>
        </w:rPr>
        <w:t xml:space="preserve"> </w:t>
      </w:r>
      <w:r>
        <w:rPr>
          <w:color w:val="000000"/>
        </w:rPr>
        <w:t>plan;</w:t>
      </w:r>
    </w:p>
    <w:p w14:paraId="3EE62345" w14:textId="77777777" w:rsidR="00330A6B" w:rsidRDefault="00287EB0">
      <w:pPr>
        <w:numPr>
          <w:ilvl w:val="0"/>
          <w:numId w:val="11"/>
        </w:numPr>
        <w:pBdr>
          <w:top w:val="nil"/>
          <w:left w:val="nil"/>
          <w:bottom w:val="nil"/>
          <w:right w:val="nil"/>
          <w:between w:val="nil"/>
        </w:pBdr>
        <w:spacing w:after="0"/>
        <w:rPr>
          <w:color w:val="000000"/>
        </w:rPr>
      </w:pPr>
      <w:r>
        <w:rPr>
          <w:color w:val="000000"/>
        </w:rPr>
        <w:t>Coordinate CEOS and CGMS bodies in executing the distributed work</w:t>
      </w:r>
      <w:r w:rsidR="00CB2C61">
        <w:rPr>
          <w:color w:val="000000"/>
        </w:rPr>
        <w:t xml:space="preserve"> </w:t>
      </w:r>
      <w:r>
        <w:rPr>
          <w:color w:val="000000"/>
        </w:rPr>
        <w:t>plan;</w:t>
      </w:r>
    </w:p>
    <w:p w14:paraId="1DE3E237" w14:textId="77777777" w:rsidR="00330A6B" w:rsidRDefault="00287EB0">
      <w:pPr>
        <w:numPr>
          <w:ilvl w:val="0"/>
          <w:numId w:val="11"/>
        </w:numPr>
        <w:pBdr>
          <w:top w:val="nil"/>
          <w:left w:val="nil"/>
          <w:bottom w:val="nil"/>
          <w:right w:val="nil"/>
          <w:between w:val="nil"/>
        </w:pBdr>
        <w:spacing w:after="0"/>
        <w:rPr>
          <w:color w:val="000000"/>
        </w:rPr>
      </w:pPr>
      <w:r>
        <w:rPr>
          <w:color w:val="000000"/>
        </w:rPr>
        <w:t>Provide links to UNFCCC, GCOS, WCRP, (GEO), IG3IS and perform communication of results;</w:t>
      </w:r>
    </w:p>
    <w:p w14:paraId="4A6A0AC8" w14:textId="5EE37607" w:rsidR="00330A6B" w:rsidRDefault="001A30D7">
      <w:pPr>
        <w:numPr>
          <w:ilvl w:val="0"/>
          <w:numId w:val="11"/>
        </w:numPr>
        <w:pBdr>
          <w:top w:val="nil"/>
          <w:left w:val="nil"/>
          <w:bottom w:val="nil"/>
          <w:right w:val="nil"/>
          <w:between w:val="nil"/>
        </w:pBdr>
        <w:spacing w:after="0"/>
        <w:rPr>
          <w:color w:val="000000"/>
        </w:rPr>
      </w:pPr>
      <w:r>
        <w:rPr>
          <w:color w:val="000000"/>
        </w:rPr>
        <w:t xml:space="preserve">Maintain an active interface with </w:t>
      </w:r>
      <w:r w:rsidR="00287EB0">
        <w:rPr>
          <w:color w:val="000000"/>
        </w:rPr>
        <w:t xml:space="preserve">the </w:t>
      </w:r>
      <w:r>
        <w:rPr>
          <w:color w:val="000000"/>
        </w:rPr>
        <w:t xml:space="preserve">national </w:t>
      </w:r>
      <w:r w:rsidR="00287EB0">
        <w:rPr>
          <w:color w:val="000000"/>
        </w:rPr>
        <w:t>carbon inventory community;</w:t>
      </w:r>
      <w:r w:rsidR="00063AC4">
        <w:rPr>
          <w:color w:val="000000"/>
        </w:rPr>
        <w:t xml:space="preserve"> and</w:t>
      </w:r>
    </w:p>
    <w:p w14:paraId="612C7A57" w14:textId="77777777" w:rsidR="00330A6B" w:rsidRDefault="00287EB0">
      <w:pPr>
        <w:numPr>
          <w:ilvl w:val="0"/>
          <w:numId w:val="11"/>
        </w:numPr>
        <w:pBdr>
          <w:top w:val="nil"/>
          <w:left w:val="nil"/>
          <w:bottom w:val="nil"/>
          <w:right w:val="nil"/>
          <w:between w:val="nil"/>
        </w:pBdr>
        <w:spacing w:after="0"/>
        <w:rPr>
          <w:color w:val="000000"/>
        </w:rPr>
      </w:pPr>
      <w:r>
        <w:rPr>
          <w:color w:val="000000"/>
        </w:rPr>
        <w:t>Oversee the implementation of the CEOS carbon strategy.</w:t>
      </w:r>
    </w:p>
    <w:p w14:paraId="025E33BA" w14:textId="77777777" w:rsidR="00F14F1F" w:rsidRDefault="00F14F1F" w:rsidP="00622A67">
      <w:pPr>
        <w:pBdr>
          <w:top w:val="nil"/>
          <w:left w:val="nil"/>
          <w:bottom w:val="nil"/>
          <w:right w:val="nil"/>
          <w:between w:val="nil"/>
        </w:pBdr>
        <w:spacing w:after="0"/>
        <w:rPr>
          <w:color w:val="000000"/>
        </w:rPr>
      </w:pPr>
    </w:p>
    <w:p w14:paraId="105B2E6C" w14:textId="64DC51BA" w:rsidR="00382B34" w:rsidRDefault="00F14F1F" w:rsidP="00CB2C61">
      <w:pPr>
        <w:pBdr>
          <w:top w:val="nil"/>
          <w:left w:val="nil"/>
          <w:bottom w:val="nil"/>
          <w:right w:val="nil"/>
          <w:between w:val="nil"/>
        </w:pBdr>
        <w:spacing w:after="0"/>
      </w:pPr>
      <w:r>
        <w:rPr>
          <w:color w:val="000000"/>
        </w:rPr>
        <w:t xml:space="preserve">The </w:t>
      </w:r>
      <w:r w:rsidR="001A30D7">
        <w:rPr>
          <w:color w:val="000000"/>
        </w:rPr>
        <w:t>T</w:t>
      </w:r>
      <w:r>
        <w:rPr>
          <w:color w:val="000000"/>
        </w:rPr>
        <w:t xml:space="preserve">ask </w:t>
      </w:r>
      <w:r w:rsidR="001A30D7">
        <w:rPr>
          <w:color w:val="000000"/>
        </w:rPr>
        <w:t>T</w:t>
      </w:r>
      <w:r>
        <w:rPr>
          <w:color w:val="000000"/>
        </w:rPr>
        <w:t xml:space="preserve">eam </w:t>
      </w:r>
      <w:proofErr w:type="gramStart"/>
      <w:r w:rsidR="00382B34">
        <w:rPr>
          <w:color w:val="000000"/>
        </w:rPr>
        <w:t>was</w:t>
      </w:r>
      <w:r w:rsidRPr="00A23959">
        <w:rPr>
          <w:color w:val="000000"/>
        </w:rPr>
        <w:t xml:space="preserve"> organized</w:t>
      </w:r>
      <w:proofErr w:type="gramEnd"/>
      <w:r w:rsidRPr="00A23959">
        <w:rPr>
          <w:color w:val="000000"/>
        </w:rPr>
        <w:t xml:space="preserve"> to execute the coordination </w:t>
      </w:r>
      <w:r w:rsidR="00382B34">
        <w:rPr>
          <w:color w:val="000000"/>
        </w:rPr>
        <w:t>activities</w:t>
      </w:r>
      <w:r w:rsidR="00382B34" w:rsidRPr="00A23959">
        <w:rPr>
          <w:color w:val="000000"/>
        </w:rPr>
        <w:t xml:space="preserve"> </w:t>
      </w:r>
      <w:r w:rsidRPr="00A23959">
        <w:rPr>
          <w:color w:val="000000"/>
        </w:rPr>
        <w:t>while ensuring balanced representation of the invo</w:t>
      </w:r>
      <w:r w:rsidR="00C92E0B" w:rsidRPr="00A23959">
        <w:rPr>
          <w:color w:val="000000"/>
        </w:rPr>
        <w:t>lved entities</w:t>
      </w:r>
      <w:r w:rsidR="00382B34">
        <w:rPr>
          <w:color w:val="000000"/>
        </w:rPr>
        <w:t>. To</w:t>
      </w:r>
      <w:r w:rsidR="00382B34" w:rsidRPr="00A23959">
        <w:rPr>
          <w:color w:val="000000"/>
        </w:rPr>
        <w:t xml:space="preserve"> </w:t>
      </w:r>
      <w:r w:rsidR="00C92E0B" w:rsidRPr="00A23959">
        <w:rPr>
          <w:color w:val="000000"/>
        </w:rPr>
        <w:t>avoid duplication of</w:t>
      </w:r>
      <w:r w:rsidR="00287EB0" w:rsidRPr="00A23959">
        <w:rPr>
          <w:color w:val="000000"/>
        </w:rPr>
        <w:t xml:space="preserve"> structures and activities of </w:t>
      </w:r>
      <w:r w:rsidR="00C92E0B" w:rsidRPr="00A23959">
        <w:rPr>
          <w:color w:val="000000"/>
        </w:rPr>
        <w:t xml:space="preserve">the </w:t>
      </w:r>
      <w:r w:rsidR="00287EB0" w:rsidRPr="00A23959">
        <w:rPr>
          <w:color w:val="000000"/>
        </w:rPr>
        <w:t>contributing bodies</w:t>
      </w:r>
      <w:r w:rsidR="00382B34">
        <w:rPr>
          <w:color w:val="000000"/>
        </w:rPr>
        <w:t>, the roadmap development</w:t>
      </w:r>
      <w:r w:rsidR="00382B34" w:rsidRPr="00AA7219">
        <w:t xml:space="preserve"> </w:t>
      </w:r>
      <w:r w:rsidR="00382B34">
        <w:t xml:space="preserve">effort </w:t>
      </w:r>
      <w:proofErr w:type="gramStart"/>
      <w:r w:rsidR="00382B34">
        <w:t>was initiated</w:t>
      </w:r>
      <w:proofErr w:type="gramEnd"/>
      <w:r w:rsidR="00382B34">
        <w:t xml:space="preserve"> using</w:t>
      </w:r>
      <w:r w:rsidR="00382B34" w:rsidRPr="00AA7219">
        <w:t xml:space="preserve"> the </w:t>
      </w:r>
      <w:r w:rsidR="00382B34">
        <w:t>existing</w:t>
      </w:r>
      <w:r w:rsidR="00382B34" w:rsidRPr="00AA7219">
        <w:t xml:space="preserve"> individual work plans of the different</w:t>
      </w:r>
      <w:r w:rsidR="00382B34">
        <w:t xml:space="preserve"> contributing bodies</w:t>
      </w:r>
      <w:r w:rsidR="00382B34" w:rsidRPr="00AA7219">
        <w:t xml:space="preserve">. The work plan </w:t>
      </w:r>
      <w:proofErr w:type="gramStart"/>
      <w:r w:rsidR="00382B34">
        <w:t>was then divided</w:t>
      </w:r>
      <w:proofErr w:type="gramEnd"/>
      <w:r w:rsidR="00382B34">
        <w:t xml:space="preserve"> </w:t>
      </w:r>
      <w:r w:rsidR="00382B34" w:rsidRPr="00AA7219">
        <w:t>into clearly defined work packages with milestones identifying the responsible lead.</w:t>
      </w:r>
      <w:r w:rsidR="00382B34">
        <w:t xml:space="preserve"> </w:t>
      </w:r>
    </w:p>
    <w:p w14:paraId="18A413D5" w14:textId="77777777" w:rsidR="00382B34" w:rsidRDefault="00382B34" w:rsidP="00CB2C61">
      <w:pPr>
        <w:pBdr>
          <w:top w:val="nil"/>
          <w:left w:val="nil"/>
          <w:bottom w:val="nil"/>
          <w:right w:val="nil"/>
          <w:between w:val="nil"/>
        </w:pBdr>
        <w:spacing w:after="0"/>
      </w:pPr>
    </w:p>
    <w:p w14:paraId="14E0393E" w14:textId="02B88333" w:rsidR="00F630EC" w:rsidRDefault="00F14F1F" w:rsidP="00EA7D7F">
      <w:pPr>
        <w:pBdr>
          <w:top w:val="nil"/>
          <w:left w:val="nil"/>
          <w:bottom w:val="nil"/>
          <w:right w:val="nil"/>
          <w:between w:val="nil"/>
        </w:pBdr>
        <w:spacing w:after="0"/>
        <w:rPr>
          <w:color w:val="000000"/>
        </w:rPr>
      </w:pPr>
      <w:r w:rsidRPr="00A23959">
        <w:rPr>
          <w:color w:val="000000"/>
        </w:rPr>
        <w:t>Th</w:t>
      </w:r>
      <w:r w:rsidR="00382B34">
        <w:rPr>
          <w:color w:val="000000"/>
        </w:rPr>
        <w:t>is</w:t>
      </w:r>
      <w:r w:rsidRPr="00A23959">
        <w:rPr>
          <w:color w:val="000000"/>
        </w:rPr>
        <w:t xml:space="preserve"> coordination activity </w:t>
      </w:r>
      <w:proofErr w:type="gramStart"/>
      <w:r w:rsidRPr="00A23959">
        <w:rPr>
          <w:color w:val="000000"/>
        </w:rPr>
        <w:t>is expected</w:t>
      </w:r>
      <w:proofErr w:type="gramEnd"/>
      <w:r w:rsidRPr="00A23959">
        <w:rPr>
          <w:color w:val="000000"/>
        </w:rPr>
        <w:t xml:space="preserve"> to require some additional effort by </w:t>
      </w:r>
      <w:proofErr w:type="spellStart"/>
      <w:r w:rsidRPr="00A23959">
        <w:rPr>
          <w:color w:val="000000"/>
        </w:rPr>
        <w:t>WGClimate</w:t>
      </w:r>
      <w:proofErr w:type="spellEnd"/>
      <w:r w:rsidRPr="00A23959">
        <w:rPr>
          <w:color w:val="000000"/>
        </w:rPr>
        <w:t xml:space="preserve">, WGCV, AC-VC and other CEOS and CGMS entities.  </w:t>
      </w:r>
      <w:r w:rsidR="001A30D7" w:rsidRPr="00A23959">
        <w:rPr>
          <w:color w:val="000000"/>
        </w:rPr>
        <w:t xml:space="preserve">The resources needed for this effort </w:t>
      </w:r>
      <w:proofErr w:type="gramStart"/>
      <w:r w:rsidR="00202C49">
        <w:rPr>
          <w:color w:val="000000"/>
        </w:rPr>
        <w:t>a</w:t>
      </w:r>
      <w:r w:rsidR="00C42653">
        <w:rPr>
          <w:color w:val="000000"/>
        </w:rPr>
        <w:t>re outlined</w:t>
      </w:r>
      <w:proofErr w:type="gramEnd"/>
      <w:r w:rsidR="00C42653">
        <w:rPr>
          <w:color w:val="000000"/>
        </w:rPr>
        <w:t xml:space="preserve"> in Section 7</w:t>
      </w:r>
      <w:r w:rsidR="00202C49">
        <w:rPr>
          <w:color w:val="000000"/>
        </w:rPr>
        <w:t xml:space="preserve"> of this roadmap and will be further defined in the work plan</w:t>
      </w:r>
      <w:r w:rsidR="00F630EC" w:rsidRPr="00A23959">
        <w:rPr>
          <w:color w:val="000000"/>
        </w:rPr>
        <w:t>.</w:t>
      </w:r>
    </w:p>
    <w:p w14:paraId="7900CD85" w14:textId="77777777" w:rsidR="00F14F1F" w:rsidRDefault="00C92E0B" w:rsidP="00622A67">
      <w:pPr>
        <w:pBdr>
          <w:top w:val="nil"/>
          <w:left w:val="nil"/>
          <w:bottom w:val="nil"/>
          <w:right w:val="nil"/>
          <w:between w:val="nil"/>
        </w:pBdr>
        <w:spacing w:after="0"/>
        <w:rPr>
          <w:color w:val="000000"/>
        </w:rPr>
      </w:pPr>
      <w:r w:rsidDel="00C92E0B">
        <w:rPr>
          <w:color w:val="000000"/>
        </w:rPr>
        <w:t xml:space="preserve"> </w:t>
      </w:r>
    </w:p>
    <w:p w14:paraId="2ED96AE4" w14:textId="1A968A3C" w:rsidR="00330A6B" w:rsidRPr="00EB4345" w:rsidRDefault="00287EB0" w:rsidP="007058CC">
      <w:pPr>
        <w:pStyle w:val="Heading2"/>
      </w:pPr>
      <w:bookmarkStart w:id="33" w:name="_Toc21714995"/>
      <w:r w:rsidRPr="001D304D">
        <w:t>Role of Atmospheric</w:t>
      </w:r>
      <w:r w:rsidRPr="0080462B">
        <w:t xml:space="preserve"> Composition – Virtual Cons</w:t>
      </w:r>
      <w:r w:rsidRPr="00EB4345">
        <w:t>tellation</w:t>
      </w:r>
      <w:bookmarkEnd w:id="33"/>
      <w:r w:rsidRPr="00EB4345">
        <w:t xml:space="preserve"> </w:t>
      </w:r>
    </w:p>
    <w:p w14:paraId="65E6852B" w14:textId="1AB255C1" w:rsidR="00C92E0B" w:rsidRDefault="00C92E0B">
      <w:r>
        <w:t xml:space="preserve">The CEOS </w:t>
      </w:r>
      <w:r w:rsidRPr="00C92E0B">
        <w:t xml:space="preserve">AC-VC </w:t>
      </w:r>
      <w:r w:rsidR="00EA7D7F">
        <w:t xml:space="preserve">role is </w:t>
      </w:r>
      <w:r>
        <w:t xml:space="preserve">to </w:t>
      </w:r>
      <w:r w:rsidR="00EA7D7F">
        <w:t xml:space="preserve">support the </w:t>
      </w:r>
      <w:r>
        <w:t>implement</w:t>
      </w:r>
      <w:r w:rsidR="00EA7D7F">
        <w:t>ation of</w:t>
      </w:r>
      <w:r>
        <w:t xml:space="preserve"> </w:t>
      </w:r>
      <w:r w:rsidR="00EA7D7F">
        <w:t>the</w:t>
      </w:r>
      <w:r w:rsidRPr="00C92E0B">
        <w:t xml:space="preserve"> </w:t>
      </w:r>
      <w:r w:rsidRPr="00520F0F">
        <w:t>CO</w:t>
      </w:r>
      <w:r w:rsidRPr="00520F0F">
        <w:rPr>
          <w:vertAlign w:val="subscript"/>
        </w:rPr>
        <w:t>2</w:t>
      </w:r>
      <w:r w:rsidRPr="00C92E0B">
        <w:t>/</w:t>
      </w:r>
      <w:r w:rsidRPr="00035ADA">
        <w:rPr>
          <w:rFonts w:cs="Times New Roman"/>
        </w:rPr>
        <w:t>CH</w:t>
      </w:r>
      <w:r w:rsidRPr="00035ADA">
        <w:rPr>
          <w:rFonts w:cs="Times New Roman"/>
          <w:vertAlign w:val="subscript"/>
        </w:rPr>
        <w:t>4</w:t>
      </w:r>
      <w:r w:rsidRPr="00C92E0B">
        <w:t xml:space="preserve"> focus within </w:t>
      </w:r>
      <w:proofErr w:type="spellStart"/>
      <w:r w:rsidRPr="00C92E0B">
        <w:t>WGClimate</w:t>
      </w:r>
      <w:proofErr w:type="spellEnd"/>
      <w:r w:rsidR="00D66B36">
        <w:t>.</w:t>
      </w:r>
      <w:r w:rsidR="00382B34">
        <w:t xml:space="preserve"> </w:t>
      </w:r>
      <w:r>
        <w:t xml:space="preserve">In this role, </w:t>
      </w:r>
      <w:r w:rsidRPr="00C92E0B">
        <w:t>AC-VC will continue to support GHG constellation development and synergistic GHG and atmospheric composition observations and modelling efforts</w:t>
      </w:r>
      <w:r w:rsidR="00227104">
        <w:t>:</w:t>
      </w:r>
    </w:p>
    <w:p w14:paraId="578FA261" w14:textId="3EBDEE88" w:rsidR="00330A6B" w:rsidRDefault="00382B34" w:rsidP="00A23959">
      <w:pPr>
        <w:pStyle w:val="ListParagraph"/>
        <w:numPr>
          <w:ilvl w:val="0"/>
          <w:numId w:val="60"/>
        </w:numPr>
      </w:pPr>
      <w:r>
        <w:t>Space borne</w:t>
      </w:r>
      <w:r w:rsidR="00287EB0">
        <w:t xml:space="preserve"> GHG </w:t>
      </w:r>
      <w:r w:rsidR="00227104">
        <w:t>s</w:t>
      </w:r>
      <w:r w:rsidR="00287EB0">
        <w:t xml:space="preserve">ensor </w:t>
      </w:r>
      <w:r w:rsidR="00227104">
        <w:t>d</w:t>
      </w:r>
      <w:r w:rsidR="00287EB0">
        <w:t>evelopment</w:t>
      </w:r>
    </w:p>
    <w:p w14:paraId="3C554253" w14:textId="01BCB59F" w:rsidR="00330A6B" w:rsidRPr="00D52B7E" w:rsidRDefault="00227104">
      <w:pPr>
        <w:numPr>
          <w:ilvl w:val="0"/>
          <w:numId w:val="6"/>
        </w:numPr>
        <w:pBdr>
          <w:top w:val="nil"/>
          <w:left w:val="nil"/>
          <w:bottom w:val="nil"/>
          <w:right w:val="nil"/>
          <w:between w:val="nil"/>
        </w:pBdr>
        <w:spacing w:before="120" w:after="0"/>
        <w:rPr>
          <w:rFonts w:asciiTheme="majorHAnsi" w:hAnsiTheme="majorHAnsi" w:cstheme="majorHAnsi"/>
          <w:color w:val="000000"/>
          <w:sz w:val="20"/>
        </w:rPr>
      </w:pPr>
      <w:r>
        <w:rPr>
          <w:rFonts w:asciiTheme="majorHAnsi" w:eastAsia="Times New Roman" w:hAnsiTheme="majorHAnsi" w:cstheme="majorHAnsi"/>
          <w:color w:val="000000"/>
          <w:szCs w:val="24"/>
        </w:rPr>
        <w:t>Contribute to the implementation of</w:t>
      </w:r>
      <w:r w:rsidRPr="00D52B7E">
        <w:rPr>
          <w:rFonts w:asciiTheme="majorHAnsi" w:eastAsia="Times New Roman" w:hAnsiTheme="majorHAnsi" w:cstheme="majorHAnsi"/>
          <w:color w:val="000000"/>
          <w:szCs w:val="24"/>
        </w:rPr>
        <w:t xml:space="preserve"> </w:t>
      </w:r>
      <w:r w:rsidR="00287EB0" w:rsidRPr="00D52B7E">
        <w:rPr>
          <w:rFonts w:asciiTheme="majorHAnsi" w:eastAsia="Times New Roman" w:hAnsiTheme="majorHAnsi" w:cstheme="majorHAnsi"/>
          <w:color w:val="000000"/>
          <w:szCs w:val="24"/>
        </w:rPr>
        <w:t>a prototype</w:t>
      </w:r>
      <w:r w:rsidR="00063AC4" w:rsidRPr="00D52B7E">
        <w:rPr>
          <w:rFonts w:asciiTheme="majorHAnsi" w:eastAsia="Times New Roman" w:hAnsiTheme="majorHAnsi" w:cstheme="majorHAnsi"/>
          <w:color w:val="000000"/>
          <w:szCs w:val="24"/>
        </w:rPr>
        <w:t xml:space="preserve"> </w:t>
      </w:r>
      <w:r w:rsidR="00287EB0" w:rsidRPr="00D52B7E">
        <w:rPr>
          <w:rFonts w:asciiTheme="majorHAnsi" w:eastAsia="Times New Roman" w:hAnsiTheme="majorHAnsi" w:cstheme="majorHAnsi"/>
          <w:color w:val="000000"/>
          <w:szCs w:val="24"/>
        </w:rPr>
        <w:t>system that incorporates products from a virtual constellation of sensors by 2021 (Rec#1)</w:t>
      </w:r>
      <w:r w:rsidR="00063AC4" w:rsidRPr="00D52B7E">
        <w:rPr>
          <w:rFonts w:asciiTheme="majorHAnsi" w:eastAsia="Times New Roman" w:hAnsiTheme="majorHAnsi" w:cstheme="majorHAnsi"/>
          <w:color w:val="000000"/>
          <w:szCs w:val="24"/>
        </w:rPr>
        <w:t>;</w:t>
      </w:r>
    </w:p>
    <w:p w14:paraId="2DDE30E3" w14:textId="0047F812" w:rsidR="00330A6B" w:rsidRPr="00D52B7E" w:rsidRDefault="00D66B36">
      <w:pPr>
        <w:numPr>
          <w:ilvl w:val="0"/>
          <w:numId w:val="6"/>
        </w:numPr>
        <w:pBdr>
          <w:top w:val="nil"/>
          <w:left w:val="nil"/>
          <w:bottom w:val="nil"/>
          <w:right w:val="nil"/>
          <w:between w:val="nil"/>
        </w:pBdr>
        <w:spacing w:after="0"/>
        <w:rPr>
          <w:rFonts w:asciiTheme="majorHAnsi" w:hAnsiTheme="majorHAnsi" w:cstheme="majorHAnsi"/>
          <w:color w:val="000000"/>
          <w:sz w:val="20"/>
        </w:rPr>
      </w:pPr>
      <w:r>
        <w:rPr>
          <w:rFonts w:asciiTheme="majorHAnsi" w:eastAsia="Times New Roman" w:hAnsiTheme="majorHAnsi" w:cstheme="majorHAnsi"/>
          <w:color w:val="000000"/>
          <w:szCs w:val="24"/>
        </w:rPr>
        <w:t>Contribute to the definition</w:t>
      </w:r>
      <w:r w:rsidRPr="00D52B7E">
        <w:rPr>
          <w:rFonts w:asciiTheme="majorHAnsi" w:eastAsia="Times New Roman" w:hAnsiTheme="majorHAnsi" w:cstheme="majorHAnsi"/>
          <w:color w:val="000000"/>
          <w:szCs w:val="24"/>
        </w:rPr>
        <w:t xml:space="preserve"> </w:t>
      </w:r>
      <w:r>
        <w:rPr>
          <w:rFonts w:asciiTheme="majorHAnsi" w:eastAsia="Times New Roman" w:hAnsiTheme="majorHAnsi" w:cstheme="majorHAnsi"/>
          <w:color w:val="000000"/>
          <w:szCs w:val="24"/>
        </w:rPr>
        <w:t xml:space="preserve">of the </w:t>
      </w:r>
      <w:r w:rsidR="00063AC4" w:rsidRPr="00D52B7E">
        <w:rPr>
          <w:rFonts w:asciiTheme="majorHAnsi" w:eastAsia="Times New Roman" w:hAnsiTheme="majorHAnsi" w:cstheme="majorHAnsi"/>
          <w:color w:val="000000"/>
          <w:szCs w:val="24"/>
        </w:rPr>
        <w:t>requirement</w:t>
      </w:r>
      <w:r>
        <w:rPr>
          <w:rFonts w:asciiTheme="majorHAnsi" w:eastAsia="Times New Roman" w:hAnsiTheme="majorHAnsi" w:cstheme="majorHAnsi"/>
          <w:color w:val="000000"/>
          <w:szCs w:val="24"/>
        </w:rPr>
        <w:t xml:space="preserve"> records</w:t>
      </w:r>
      <w:r w:rsidR="00063AC4" w:rsidRPr="00D52B7E">
        <w:rPr>
          <w:rFonts w:asciiTheme="majorHAnsi" w:eastAsia="Times New Roman" w:hAnsiTheme="majorHAnsi" w:cstheme="majorHAnsi"/>
          <w:color w:val="000000"/>
          <w:szCs w:val="24"/>
        </w:rPr>
        <w:t xml:space="preserve"> for </w:t>
      </w:r>
      <w:r w:rsidR="00287EB0" w:rsidRPr="00D52B7E">
        <w:rPr>
          <w:rFonts w:asciiTheme="majorHAnsi" w:eastAsia="Times New Roman" w:hAnsiTheme="majorHAnsi" w:cstheme="majorHAnsi"/>
          <w:color w:val="000000"/>
          <w:szCs w:val="24"/>
        </w:rPr>
        <w:t xml:space="preserve">an operational system or dedicated constellations of </w:t>
      </w:r>
      <w:r w:rsidR="00063AC4" w:rsidRPr="00D52B7E">
        <w:rPr>
          <w:rFonts w:asciiTheme="majorHAnsi" w:eastAsia="Times New Roman" w:hAnsiTheme="majorHAnsi" w:cstheme="majorHAnsi"/>
          <w:color w:val="000000"/>
          <w:szCs w:val="24"/>
        </w:rPr>
        <w:t xml:space="preserve">space-based </w:t>
      </w:r>
      <w:r w:rsidR="00287EB0" w:rsidRPr="00D52B7E">
        <w:rPr>
          <w:rFonts w:asciiTheme="majorHAnsi" w:eastAsia="Times New Roman" w:hAnsiTheme="majorHAnsi" w:cstheme="majorHAnsi"/>
          <w:color w:val="000000"/>
          <w:szCs w:val="24"/>
        </w:rPr>
        <w:t>sensors (Rec#2)</w:t>
      </w:r>
      <w:r w:rsidR="00063AC4" w:rsidRPr="00D52B7E">
        <w:rPr>
          <w:rFonts w:asciiTheme="majorHAnsi" w:eastAsia="Times New Roman" w:hAnsiTheme="majorHAnsi" w:cstheme="majorHAnsi"/>
          <w:color w:val="000000"/>
          <w:szCs w:val="24"/>
        </w:rPr>
        <w:t>;</w:t>
      </w:r>
    </w:p>
    <w:p w14:paraId="400639EC" w14:textId="77777777" w:rsidR="00330A6B" w:rsidRPr="00D52B7E" w:rsidRDefault="00287EB0">
      <w:pPr>
        <w:numPr>
          <w:ilvl w:val="0"/>
          <w:numId w:val="6"/>
        </w:numPr>
        <w:pBdr>
          <w:top w:val="nil"/>
          <w:left w:val="nil"/>
          <w:bottom w:val="nil"/>
          <w:right w:val="nil"/>
          <w:between w:val="nil"/>
        </w:pBdr>
        <w:spacing w:after="0"/>
        <w:rPr>
          <w:rFonts w:asciiTheme="majorHAnsi" w:hAnsiTheme="majorHAnsi" w:cstheme="majorHAnsi"/>
          <w:color w:val="000000"/>
          <w:sz w:val="20"/>
        </w:rPr>
      </w:pPr>
      <w:r w:rsidRPr="00D52B7E">
        <w:rPr>
          <w:rFonts w:asciiTheme="majorHAnsi" w:eastAsia="Times New Roman" w:hAnsiTheme="majorHAnsi" w:cstheme="majorHAnsi"/>
          <w:color w:val="000000"/>
          <w:szCs w:val="24"/>
        </w:rPr>
        <w:t>Define best practices and facilitate exchange and harmonization of approaches for instrument cross-calibration</w:t>
      </w:r>
      <w:r w:rsidR="00970DCC">
        <w:rPr>
          <w:rFonts w:asciiTheme="majorHAnsi" w:eastAsia="Times New Roman" w:hAnsiTheme="majorHAnsi" w:cstheme="majorHAnsi"/>
          <w:color w:val="000000"/>
          <w:szCs w:val="24"/>
        </w:rPr>
        <w:t xml:space="preserve"> in coordination with CEOS WGCV and GSICS</w:t>
      </w:r>
      <w:r w:rsidRPr="00D52B7E">
        <w:rPr>
          <w:rFonts w:asciiTheme="majorHAnsi" w:eastAsia="Times New Roman" w:hAnsiTheme="majorHAnsi" w:cstheme="majorHAnsi"/>
          <w:color w:val="000000"/>
          <w:szCs w:val="24"/>
        </w:rPr>
        <w:t xml:space="preserve"> (Rec#10)</w:t>
      </w:r>
      <w:r w:rsidR="00063AC4" w:rsidRPr="00D52B7E">
        <w:rPr>
          <w:rFonts w:asciiTheme="majorHAnsi" w:eastAsia="Times New Roman" w:hAnsiTheme="majorHAnsi" w:cstheme="majorHAnsi"/>
          <w:color w:val="000000"/>
          <w:szCs w:val="24"/>
        </w:rPr>
        <w:t>;</w:t>
      </w:r>
    </w:p>
    <w:p w14:paraId="49E8FB2F" w14:textId="77777777" w:rsidR="00330A6B" w:rsidRPr="00D52B7E" w:rsidRDefault="00287EB0">
      <w:pPr>
        <w:numPr>
          <w:ilvl w:val="0"/>
          <w:numId w:val="6"/>
        </w:numPr>
        <w:pBdr>
          <w:top w:val="nil"/>
          <w:left w:val="nil"/>
          <w:bottom w:val="nil"/>
          <w:right w:val="nil"/>
          <w:between w:val="nil"/>
        </w:pBdr>
        <w:spacing w:after="0"/>
        <w:rPr>
          <w:rFonts w:asciiTheme="majorHAnsi" w:hAnsiTheme="majorHAnsi" w:cstheme="majorHAnsi"/>
          <w:color w:val="000000"/>
          <w:sz w:val="20"/>
        </w:rPr>
      </w:pPr>
      <w:r w:rsidRPr="00D52B7E">
        <w:rPr>
          <w:rFonts w:asciiTheme="majorHAnsi" w:eastAsia="Times New Roman" w:hAnsiTheme="majorHAnsi" w:cstheme="majorHAnsi"/>
          <w:color w:val="000000"/>
          <w:szCs w:val="24"/>
        </w:rPr>
        <w:t>Facilitate exchange of expertise and support in defining mission requirements (Rec#7)</w:t>
      </w:r>
      <w:r w:rsidR="00063AC4" w:rsidRPr="00D52B7E">
        <w:rPr>
          <w:rFonts w:asciiTheme="majorHAnsi" w:eastAsia="Times New Roman" w:hAnsiTheme="majorHAnsi" w:cstheme="majorHAnsi"/>
          <w:color w:val="000000"/>
          <w:szCs w:val="24"/>
        </w:rPr>
        <w:t>;</w:t>
      </w:r>
    </w:p>
    <w:p w14:paraId="09F91BDC" w14:textId="77777777" w:rsidR="00330A6B" w:rsidRPr="00D52B7E" w:rsidRDefault="00287EB0">
      <w:pPr>
        <w:numPr>
          <w:ilvl w:val="0"/>
          <w:numId w:val="6"/>
        </w:numPr>
        <w:pBdr>
          <w:top w:val="nil"/>
          <w:left w:val="nil"/>
          <w:bottom w:val="nil"/>
          <w:right w:val="nil"/>
          <w:between w:val="nil"/>
        </w:pBdr>
        <w:spacing w:after="0"/>
        <w:rPr>
          <w:rFonts w:asciiTheme="majorHAnsi" w:hAnsiTheme="majorHAnsi" w:cstheme="majorHAnsi"/>
          <w:color w:val="000000"/>
          <w:sz w:val="20"/>
        </w:rPr>
      </w:pPr>
      <w:r w:rsidRPr="00D52B7E">
        <w:rPr>
          <w:rFonts w:asciiTheme="majorHAnsi" w:eastAsia="Times New Roman" w:hAnsiTheme="majorHAnsi" w:cstheme="majorHAnsi"/>
          <w:color w:val="000000"/>
          <w:szCs w:val="24"/>
        </w:rPr>
        <w:t>Coordinate discussion on auxiliary observations enhancing data quality (e.g., aerosol properties for light path correction) (Rec#15)</w:t>
      </w:r>
      <w:r w:rsidR="00063AC4" w:rsidRPr="00D52B7E">
        <w:rPr>
          <w:rFonts w:asciiTheme="majorHAnsi" w:eastAsia="Times New Roman" w:hAnsiTheme="majorHAnsi" w:cstheme="majorHAnsi"/>
          <w:color w:val="000000"/>
          <w:szCs w:val="24"/>
        </w:rPr>
        <w:t>;</w:t>
      </w:r>
    </w:p>
    <w:p w14:paraId="34AE7BF9" w14:textId="1C26A856" w:rsidR="00330A6B" w:rsidRPr="00D60E7D" w:rsidRDefault="00287EB0">
      <w:pPr>
        <w:numPr>
          <w:ilvl w:val="0"/>
          <w:numId w:val="6"/>
        </w:numPr>
        <w:pBdr>
          <w:top w:val="nil"/>
          <w:left w:val="nil"/>
          <w:bottom w:val="nil"/>
          <w:right w:val="nil"/>
          <w:between w:val="nil"/>
        </w:pBdr>
        <w:spacing w:after="0"/>
        <w:rPr>
          <w:rFonts w:asciiTheme="majorHAnsi" w:hAnsiTheme="majorHAnsi" w:cstheme="majorHAnsi"/>
          <w:color w:val="000000"/>
          <w:sz w:val="20"/>
        </w:rPr>
      </w:pPr>
      <w:r w:rsidRPr="00D60E7D">
        <w:rPr>
          <w:rFonts w:asciiTheme="majorHAnsi" w:eastAsia="Times New Roman" w:hAnsiTheme="majorHAnsi" w:cstheme="majorHAnsi"/>
          <w:color w:val="000000"/>
          <w:szCs w:val="24"/>
        </w:rPr>
        <w:t>Track</w:t>
      </w:r>
      <w:r w:rsidR="00D66B36">
        <w:rPr>
          <w:rFonts w:asciiTheme="majorHAnsi" w:eastAsia="Times New Roman" w:hAnsiTheme="majorHAnsi" w:cstheme="majorHAnsi"/>
          <w:color w:val="000000"/>
          <w:szCs w:val="24"/>
        </w:rPr>
        <w:t xml:space="preserve"> </w:t>
      </w:r>
      <w:r w:rsidRPr="00D60E7D">
        <w:rPr>
          <w:rFonts w:asciiTheme="majorHAnsi" w:eastAsia="Times New Roman" w:hAnsiTheme="majorHAnsi" w:cstheme="majorHAnsi"/>
          <w:color w:val="000000"/>
          <w:szCs w:val="24"/>
        </w:rPr>
        <w:t xml:space="preserve">implementation and operations of space-based GHG </w:t>
      </w:r>
      <w:proofErr w:type="gramStart"/>
      <w:r w:rsidRPr="00D60E7D">
        <w:rPr>
          <w:rFonts w:asciiTheme="majorHAnsi" w:eastAsia="Times New Roman" w:hAnsiTheme="majorHAnsi" w:cstheme="majorHAnsi"/>
          <w:color w:val="000000"/>
          <w:szCs w:val="24"/>
        </w:rPr>
        <w:t>sensors</w:t>
      </w:r>
      <w:r w:rsidR="00D66B36">
        <w:rPr>
          <w:rFonts w:asciiTheme="majorHAnsi" w:eastAsia="Times New Roman" w:hAnsiTheme="majorHAnsi" w:cstheme="majorHAnsi"/>
          <w:color w:val="000000"/>
          <w:szCs w:val="24"/>
        </w:rPr>
        <w:t xml:space="preserve"> and identify and propose solutions for observational gaps</w:t>
      </w:r>
      <w:r w:rsidRPr="00D60E7D">
        <w:rPr>
          <w:rFonts w:asciiTheme="majorHAnsi" w:eastAsia="Times New Roman" w:hAnsiTheme="majorHAnsi" w:cstheme="majorHAnsi"/>
          <w:color w:val="000000"/>
          <w:szCs w:val="24"/>
        </w:rPr>
        <w:t xml:space="preserve"> (Rec#14</w:t>
      </w:r>
      <w:proofErr w:type="gramEnd"/>
      <w:r w:rsidRPr="00D60E7D">
        <w:rPr>
          <w:rFonts w:asciiTheme="majorHAnsi" w:eastAsia="Times New Roman" w:hAnsiTheme="majorHAnsi" w:cstheme="majorHAnsi"/>
          <w:color w:val="000000"/>
          <w:szCs w:val="24"/>
        </w:rPr>
        <w:t>)</w:t>
      </w:r>
      <w:r w:rsidR="00D66B36">
        <w:rPr>
          <w:rFonts w:asciiTheme="majorHAnsi" w:eastAsia="Times New Roman" w:hAnsiTheme="majorHAnsi" w:cstheme="majorHAnsi"/>
          <w:color w:val="000000"/>
          <w:szCs w:val="24"/>
        </w:rPr>
        <w:t>.</w:t>
      </w:r>
    </w:p>
    <w:p w14:paraId="5F10A4AA" w14:textId="68DF27FC" w:rsidR="00330A6B" w:rsidRDefault="00287EB0" w:rsidP="00A23959">
      <w:pPr>
        <w:pStyle w:val="ListParagraph"/>
        <w:numPr>
          <w:ilvl w:val="0"/>
          <w:numId w:val="60"/>
        </w:numPr>
      </w:pPr>
      <w:r>
        <w:t xml:space="preserve">GHG </w:t>
      </w:r>
      <w:r w:rsidR="00227104">
        <w:t>p</w:t>
      </w:r>
      <w:r>
        <w:t xml:space="preserve">roduct (L1&amp;2) </w:t>
      </w:r>
      <w:r w:rsidR="00227104">
        <w:t>d</w:t>
      </w:r>
      <w:r>
        <w:t>evelopment</w:t>
      </w:r>
    </w:p>
    <w:p w14:paraId="1C89E3DA" w14:textId="77777777" w:rsidR="00330A6B" w:rsidRDefault="00287EB0">
      <w:pPr>
        <w:numPr>
          <w:ilvl w:val="0"/>
          <w:numId w:val="7"/>
        </w:numPr>
        <w:pBdr>
          <w:top w:val="nil"/>
          <w:left w:val="nil"/>
          <w:bottom w:val="nil"/>
          <w:right w:val="nil"/>
          <w:between w:val="nil"/>
        </w:pBdr>
        <w:spacing w:before="120" w:after="0"/>
        <w:rPr>
          <w:color w:val="000000"/>
        </w:rPr>
      </w:pPr>
      <w:r>
        <w:rPr>
          <w:color w:val="000000"/>
        </w:rPr>
        <w:t xml:space="preserve">Document the performance of existing and near term L1 and L2 products and their ability to meet </w:t>
      </w:r>
      <w:proofErr w:type="spellStart"/>
      <w:r>
        <w:rPr>
          <w:color w:val="000000"/>
        </w:rPr>
        <w:t>WGClimate</w:t>
      </w:r>
      <w:proofErr w:type="spellEnd"/>
      <w:r>
        <w:rPr>
          <w:color w:val="000000"/>
        </w:rPr>
        <w:t xml:space="preserve"> needs for ECV and FCDRs</w:t>
      </w:r>
      <w:r w:rsidR="00063AC4">
        <w:rPr>
          <w:color w:val="000000"/>
        </w:rPr>
        <w:t>;</w:t>
      </w:r>
      <w:r>
        <w:rPr>
          <w:color w:val="000000"/>
        </w:rPr>
        <w:t xml:space="preserve"> </w:t>
      </w:r>
    </w:p>
    <w:p w14:paraId="70F6F0B8" w14:textId="77777777" w:rsidR="00330A6B" w:rsidRDefault="00287EB0">
      <w:pPr>
        <w:numPr>
          <w:ilvl w:val="0"/>
          <w:numId w:val="7"/>
        </w:numPr>
        <w:pBdr>
          <w:top w:val="nil"/>
          <w:left w:val="nil"/>
          <w:bottom w:val="nil"/>
          <w:right w:val="nil"/>
          <w:between w:val="nil"/>
        </w:pBdr>
        <w:spacing w:after="0"/>
        <w:rPr>
          <w:color w:val="000000"/>
        </w:rPr>
      </w:pPr>
      <w:r>
        <w:rPr>
          <w:color w:val="000000"/>
        </w:rPr>
        <w:t>Establish product accuracy, precision, resolution, and coverage requirements needed to meet the flux requirements on various scales</w:t>
      </w:r>
      <w:r w:rsidR="00063AC4">
        <w:rPr>
          <w:color w:val="000000"/>
        </w:rPr>
        <w:t>;</w:t>
      </w:r>
      <w:r>
        <w:rPr>
          <w:color w:val="000000"/>
        </w:rPr>
        <w:t xml:space="preserve"> </w:t>
      </w:r>
    </w:p>
    <w:p w14:paraId="4C7DAA78" w14:textId="03C8C415" w:rsidR="00330A6B" w:rsidRDefault="00287EB0">
      <w:pPr>
        <w:numPr>
          <w:ilvl w:val="0"/>
          <w:numId w:val="7"/>
        </w:numPr>
        <w:pBdr>
          <w:top w:val="nil"/>
          <w:left w:val="nil"/>
          <w:bottom w:val="nil"/>
          <w:right w:val="nil"/>
          <w:between w:val="nil"/>
        </w:pBdr>
        <w:spacing w:after="0"/>
        <w:rPr>
          <w:color w:val="000000"/>
        </w:rPr>
      </w:pPr>
      <w:r>
        <w:rPr>
          <w:color w:val="000000"/>
        </w:rPr>
        <w:t xml:space="preserve">Coordinate between </w:t>
      </w:r>
      <w:r w:rsidR="002A7639">
        <w:rPr>
          <w:color w:val="000000"/>
        </w:rPr>
        <w:t>national and international development efforts</w:t>
      </w:r>
      <w:r>
        <w:rPr>
          <w:color w:val="000000"/>
        </w:rPr>
        <w:t xml:space="preserve"> to identify best practices and develop a prototype product</w:t>
      </w:r>
      <w:r w:rsidR="00063AC4">
        <w:rPr>
          <w:color w:val="000000"/>
        </w:rPr>
        <w:t>;</w:t>
      </w:r>
    </w:p>
    <w:p w14:paraId="0C019F87" w14:textId="48170AC8" w:rsidR="00330A6B" w:rsidRDefault="00287EB0">
      <w:pPr>
        <w:numPr>
          <w:ilvl w:val="0"/>
          <w:numId w:val="7"/>
        </w:numPr>
        <w:pBdr>
          <w:top w:val="nil"/>
          <w:left w:val="nil"/>
          <w:bottom w:val="nil"/>
          <w:right w:val="nil"/>
          <w:between w:val="nil"/>
        </w:pBdr>
        <w:spacing w:after="0"/>
        <w:rPr>
          <w:color w:val="000000"/>
        </w:rPr>
      </w:pPr>
      <w:r>
        <w:rPr>
          <w:color w:val="000000"/>
        </w:rPr>
        <w:t>Pursue consistency in product content, format, units, variable names,</w:t>
      </w:r>
      <w:r w:rsidR="00063AC4">
        <w:rPr>
          <w:color w:val="000000"/>
        </w:rPr>
        <w:t xml:space="preserve"> etc. to facilitate interoperability;</w:t>
      </w:r>
    </w:p>
    <w:p w14:paraId="3551C108" w14:textId="77777777" w:rsidR="00330A6B" w:rsidRDefault="00287EB0">
      <w:pPr>
        <w:numPr>
          <w:ilvl w:val="0"/>
          <w:numId w:val="7"/>
        </w:numPr>
        <w:pBdr>
          <w:top w:val="nil"/>
          <w:left w:val="nil"/>
          <w:bottom w:val="nil"/>
          <w:right w:val="nil"/>
          <w:between w:val="nil"/>
        </w:pBdr>
        <w:spacing w:after="0"/>
        <w:rPr>
          <w:color w:val="000000"/>
        </w:rPr>
      </w:pPr>
      <w:r>
        <w:rPr>
          <w:color w:val="000000"/>
        </w:rPr>
        <w:t>Pursue traceability of data quality</w:t>
      </w:r>
      <w:r w:rsidR="00063AC4">
        <w:rPr>
          <w:color w:val="000000"/>
        </w:rPr>
        <w:t>;</w:t>
      </w:r>
    </w:p>
    <w:p w14:paraId="1C671238" w14:textId="77777777" w:rsidR="00330A6B" w:rsidRDefault="00287EB0">
      <w:pPr>
        <w:numPr>
          <w:ilvl w:val="0"/>
          <w:numId w:val="7"/>
        </w:numPr>
        <w:pBdr>
          <w:top w:val="nil"/>
          <w:left w:val="nil"/>
          <w:bottom w:val="nil"/>
          <w:right w:val="nil"/>
          <w:between w:val="nil"/>
        </w:pBdr>
        <w:spacing w:after="0"/>
        <w:rPr>
          <w:color w:val="000000"/>
        </w:rPr>
      </w:pPr>
      <w:r>
        <w:rPr>
          <w:color w:val="000000"/>
        </w:rPr>
        <w:t>Coordinate algorithm inter-comparisons to improve accuracy and speed of retrieval algorithms</w:t>
      </w:r>
      <w:r w:rsidR="00063AC4">
        <w:rPr>
          <w:color w:val="000000"/>
        </w:rPr>
        <w:t>;</w:t>
      </w:r>
    </w:p>
    <w:p w14:paraId="3932BEAB" w14:textId="77777777" w:rsidR="00330A6B" w:rsidRDefault="00287EB0">
      <w:pPr>
        <w:numPr>
          <w:ilvl w:val="0"/>
          <w:numId w:val="7"/>
        </w:numPr>
        <w:pBdr>
          <w:top w:val="nil"/>
          <w:left w:val="nil"/>
          <w:bottom w:val="nil"/>
          <w:right w:val="nil"/>
          <w:between w:val="nil"/>
        </w:pBdr>
        <w:spacing w:after="0"/>
        <w:rPr>
          <w:color w:val="000000"/>
        </w:rPr>
      </w:pPr>
      <w:r>
        <w:rPr>
          <w:color w:val="000000"/>
        </w:rPr>
        <w:t>Facilitate exchange and harmonization of approaches to calibration and retrieval challenges</w:t>
      </w:r>
      <w:r w:rsidR="00063AC4">
        <w:rPr>
          <w:color w:val="000000"/>
        </w:rPr>
        <w:t>;</w:t>
      </w:r>
      <w:r>
        <w:rPr>
          <w:color w:val="000000"/>
        </w:rPr>
        <w:t xml:space="preserve"> </w:t>
      </w:r>
    </w:p>
    <w:p w14:paraId="6AC9752B" w14:textId="77777777" w:rsidR="00330A6B" w:rsidRDefault="00287EB0">
      <w:pPr>
        <w:numPr>
          <w:ilvl w:val="0"/>
          <w:numId w:val="7"/>
        </w:numPr>
        <w:pBdr>
          <w:top w:val="nil"/>
          <w:left w:val="nil"/>
          <w:bottom w:val="nil"/>
          <w:right w:val="nil"/>
          <w:between w:val="nil"/>
        </w:pBdr>
        <w:spacing w:after="0"/>
        <w:rPr>
          <w:color w:val="000000"/>
        </w:rPr>
      </w:pPr>
      <w:r>
        <w:rPr>
          <w:color w:val="000000"/>
        </w:rPr>
        <w:t xml:space="preserve">Follow and provide recommendations on development of laboratory spectroscopy </w:t>
      </w:r>
      <w:r w:rsidR="00063AC4">
        <w:rPr>
          <w:color w:val="000000"/>
        </w:rPr>
        <w:t>needs; and</w:t>
      </w:r>
    </w:p>
    <w:p w14:paraId="4DA0E4A9" w14:textId="37057A7E" w:rsidR="00330A6B" w:rsidRDefault="00287EB0">
      <w:pPr>
        <w:numPr>
          <w:ilvl w:val="0"/>
          <w:numId w:val="7"/>
        </w:numPr>
        <w:pBdr>
          <w:top w:val="nil"/>
          <w:left w:val="nil"/>
          <w:bottom w:val="nil"/>
          <w:right w:val="nil"/>
          <w:between w:val="nil"/>
        </w:pBdr>
        <w:spacing w:after="120"/>
        <w:rPr>
          <w:color w:val="000000"/>
        </w:rPr>
      </w:pPr>
      <w:r>
        <w:rPr>
          <w:color w:val="000000"/>
        </w:rPr>
        <w:lastRenderedPageBreak/>
        <w:t xml:space="preserve">Define types of data (calibration, L1, L2) that </w:t>
      </w:r>
      <w:proofErr w:type="gramStart"/>
      <w:r>
        <w:rPr>
          <w:color w:val="000000"/>
        </w:rPr>
        <w:t>must be exchanged</w:t>
      </w:r>
      <w:proofErr w:type="gramEnd"/>
      <w:r>
        <w:rPr>
          <w:color w:val="000000"/>
        </w:rPr>
        <w:t xml:space="preserve"> to enable the integration of space</w:t>
      </w:r>
      <w:r w:rsidR="00063AC4">
        <w:rPr>
          <w:color w:val="000000"/>
        </w:rPr>
        <w:t>-</w:t>
      </w:r>
      <w:r>
        <w:rPr>
          <w:color w:val="000000"/>
        </w:rPr>
        <w:t>based systems into a constellation</w:t>
      </w:r>
      <w:r w:rsidR="00063AC4">
        <w:rPr>
          <w:color w:val="000000"/>
        </w:rPr>
        <w:t>.</w:t>
      </w:r>
    </w:p>
    <w:p w14:paraId="307112EB" w14:textId="2CD1CA4E" w:rsidR="00330A6B" w:rsidRDefault="00287EB0" w:rsidP="00A23959">
      <w:pPr>
        <w:pStyle w:val="ListParagraph"/>
        <w:numPr>
          <w:ilvl w:val="0"/>
          <w:numId w:val="60"/>
        </w:numPr>
      </w:pPr>
      <w:r>
        <w:t xml:space="preserve">GHG Flux </w:t>
      </w:r>
      <w:r w:rsidR="00D03A93">
        <w:t xml:space="preserve">inversion model </w:t>
      </w:r>
      <w:r w:rsidR="00227104">
        <w:t>Development</w:t>
      </w:r>
    </w:p>
    <w:p w14:paraId="7CEF8DF2" w14:textId="4B6CCAC4" w:rsidR="00D03A93" w:rsidRDefault="00D03A93" w:rsidP="00D03A93">
      <w:pPr>
        <w:numPr>
          <w:ilvl w:val="0"/>
          <w:numId w:val="10"/>
        </w:numPr>
        <w:pBdr>
          <w:top w:val="nil"/>
          <w:left w:val="nil"/>
          <w:bottom w:val="nil"/>
          <w:right w:val="nil"/>
          <w:between w:val="nil"/>
        </w:pBdr>
        <w:spacing w:after="0"/>
        <w:rPr>
          <w:color w:val="000000"/>
        </w:rPr>
      </w:pPr>
      <w:r>
        <w:rPr>
          <w:color w:val="000000"/>
        </w:rPr>
        <w:t>Identify accuracy and precision requirements sufficient for policy applications;</w:t>
      </w:r>
    </w:p>
    <w:p w14:paraId="0D256F2F" w14:textId="77777777" w:rsidR="00330A6B" w:rsidRDefault="00287EB0">
      <w:pPr>
        <w:numPr>
          <w:ilvl w:val="0"/>
          <w:numId w:val="10"/>
        </w:numPr>
        <w:pBdr>
          <w:top w:val="nil"/>
          <w:left w:val="nil"/>
          <w:bottom w:val="nil"/>
          <w:right w:val="nil"/>
          <w:between w:val="nil"/>
        </w:pBdr>
        <w:spacing w:before="120" w:after="0"/>
        <w:rPr>
          <w:color w:val="000000"/>
        </w:rPr>
      </w:pPr>
      <w:r>
        <w:rPr>
          <w:color w:val="000000"/>
        </w:rPr>
        <w:t>Coordinate research on flux estimation (local to national scale; Level-4 products) (Rec#3)</w:t>
      </w:r>
      <w:r w:rsidR="00D03A93">
        <w:rPr>
          <w:color w:val="000000"/>
        </w:rPr>
        <w:t>;</w:t>
      </w:r>
    </w:p>
    <w:p w14:paraId="702711B2" w14:textId="77777777" w:rsidR="00330A6B" w:rsidRDefault="00287EB0">
      <w:pPr>
        <w:numPr>
          <w:ilvl w:val="0"/>
          <w:numId w:val="10"/>
        </w:numPr>
        <w:pBdr>
          <w:top w:val="nil"/>
          <w:left w:val="nil"/>
          <w:bottom w:val="nil"/>
          <w:right w:val="nil"/>
          <w:between w:val="nil"/>
        </w:pBdr>
        <w:spacing w:after="0"/>
        <w:rPr>
          <w:color w:val="000000"/>
        </w:rPr>
      </w:pPr>
      <w:r>
        <w:rPr>
          <w:color w:val="000000"/>
        </w:rPr>
        <w:t xml:space="preserve">Coordinate between CAMS/C3S and NASA OCO-2/CMS/GMAO </w:t>
      </w:r>
      <w:r w:rsidR="00D03A93">
        <w:rPr>
          <w:color w:val="000000"/>
        </w:rPr>
        <w:t xml:space="preserve">efforts </w:t>
      </w:r>
      <w:r>
        <w:rPr>
          <w:color w:val="000000"/>
        </w:rPr>
        <w:t>(Rec#12)</w:t>
      </w:r>
      <w:r w:rsidR="00D03A93">
        <w:rPr>
          <w:color w:val="000000"/>
        </w:rPr>
        <w:t>;</w:t>
      </w:r>
    </w:p>
    <w:p w14:paraId="25DEDFA3" w14:textId="77777777" w:rsidR="00330A6B" w:rsidRDefault="00287EB0">
      <w:pPr>
        <w:numPr>
          <w:ilvl w:val="0"/>
          <w:numId w:val="10"/>
        </w:numPr>
        <w:pBdr>
          <w:top w:val="nil"/>
          <w:left w:val="nil"/>
          <w:bottom w:val="nil"/>
          <w:right w:val="nil"/>
          <w:between w:val="nil"/>
        </w:pBdr>
        <w:spacing w:after="0"/>
        <w:rPr>
          <w:color w:val="000000"/>
        </w:rPr>
      </w:pPr>
      <w:r>
        <w:rPr>
          <w:color w:val="000000"/>
        </w:rPr>
        <w:t>Coordinate OSSE studies dedicated to flux estimation (Rec#8)</w:t>
      </w:r>
      <w:r w:rsidR="00D03A93">
        <w:rPr>
          <w:color w:val="000000"/>
        </w:rPr>
        <w:t>;</w:t>
      </w:r>
    </w:p>
    <w:p w14:paraId="7236415C" w14:textId="77777777" w:rsidR="00330A6B" w:rsidRDefault="00287EB0">
      <w:pPr>
        <w:numPr>
          <w:ilvl w:val="0"/>
          <w:numId w:val="10"/>
        </w:numPr>
        <w:pBdr>
          <w:top w:val="nil"/>
          <w:left w:val="nil"/>
          <w:bottom w:val="nil"/>
          <w:right w:val="nil"/>
          <w:between w:val="nil"/>
        </w:pBdr>
        <w:spacing w:after="0"/>
        <w:rPr>
          <w:color w:val="000000"/>
        </w:rPr>
      </w:pPr>
      <w:r>
        <w:rPr>
          <w:color w:val="000000"/>
        </w:rPr>
        <w:t>Identify synergies between observation strategies for GHGs and air quality gases and aerosols</w:t>
      </w:r>
      <w:r w:rsidR="00D03A93">
        <w:rPr>
          <w:color w:val="000000"/>
        </w:rPr>
        <w:t>;</w:t>
      </w:r>
    </w:p>
    <w:p w14:paraId="26765BC3" w14:textId="77777777" w:rsidR="00330A6B" w:rsidRDefault="00287EB0">
      <w:pPr>
        <w:numPr>
          <w:ilvl w:val="0"/>
          <w:numId w:val="10"/>
        </w:numPr>
        <w:pBdr>
          <w:top w:val="nil"/>
          <w:left w:val="nil"/>
          <w:bottom w:val="nil"/>
          <w:right w:val="nil"/>
          <w:between w:val="nil"/>
        </w:pBdr>
        <w:spacing w:after="0"/>
        <w:rPr>
          <w:color w:val="000000"/>
        </w:rPr>
      </w:pPr>
      <w:r>
        <w:rPr>
          <w:color w:val="000000"/>
        </w:rPr>
        <w:t>Consolidate mission requirements for auxiliary observations (e.g. plume tracers like NO</w:t>
      </w:r>
      <w:r w:rsidRPr="00D03A93">
        <w:rPr>
          <w:color w:val="000000"/>
          <w:vertAlign w:val="subscript"/>
        </w:rPr>
        <w:t>2</w:t>
      </w:r>
      <w:r>
        <w:rPr>
          <w:color w:val="000000"/>
        </w:rPr>
        <w:t>) (Rec#14)</w:t>
      </w:r>
      <w:r w:rsidR="00D03A93">
        <w:rPr>
          <w:color w:val="000000"/>
        </w:rPr>
        <w:t>;</w:t>
      </w:r>
    </w:p>
    <w:p w14:paraId="2E130618" w14:textId="77777777" w:rsidR="00330A6B" w:rsidRDefault="00287EB0">
      <w:pPr>
        <w:numPr>
          <w:ilvl w:val="0"/>
          <w:numId w:val="10"/>
        </w:numPr>
        <w:pBdr>
          <w:top w:val="nil"/>
          <w:left w:val="nil"/>
          <w:bottom w:val="nil"/>
          <w:right w:val="nil"/>
          <w:between w:val="nil"/>
        </w:pBdr>
        <w:spacing w:after="0"/>
        <w:rPr>
          <w:color w:val="000000"/>
        </w:rPr>
      </w:pPr>
      <w:r>
        <w:rPr>
          <w:color w:val="000000"/>
        </w:rPr>
        <w:t>Pursue consistency in the product content (Rec#12)</w:t>
      </w:r>
      <w:r w:rsidR="00D03A93">
        <w:rPr>
          <w:color w:val="000000"/>
        </w:rPr>
        <w:t>;</w:t>
      </w:r>
      <w:r>
        <w:rPr>
          <w:color w:val="000000"/>
        </w:rPr>
        <w:t xml:space="preserve"> </w:t>
      </w:r>
    </w:p>
    <w:p w14:paraId="2ADDA31B" w14:textId="559FE33E" w:rsidR="00330A6B" w:rsidRDefault="00D03A93">
      <w:pPr>
        <w:numPr>
          <w:ilvl w:val="0"/>
          <w:numId w:val="10"/>
        </w:numPr>
        <w:pBdr>
          <w:top w:val="nil"/>
          <w:left w:val="nil"/>
          <w:bottom w:val="nil"/>
          <w:right w:val="nil"/>
          <w:between w:val="nil"/>
        </w:pBdr>
        <w:spacing w:after="0"/>
        <w:rPr>
          <w:color w:val="000000"/>
        </w:rPr>
      </w:pPr>
      <w:r>
        <w:rPr>
          <w:color w:val="000000"/>
        </w:rPr>
        <w:t xml:space="preserve">Insure </w:t>
      </w:r>
      <w:r w:rsidR="00287EB0">
        <w:rPr>
          <w:color w:val="000000"/>
        </w:rPr>
        <w:t>traceability of data quality (Rec#12, 13)</w:t>
      </w:r>
      <w:r>
        <w:rPr>
          <w:color w:val="000000"/>
        </w:rPr>
        <w:t>; and</w:t>
      </w:r>
    </w:p>
    <w:p w14:paraId="13C71B3A" w14:textId="77777777" w:rsidR="00330A6B" w:rsidRDefault="00287EB0">
      <w:pPr>
        <w:numPr>
          <w:ilvl w:val="0"/>
          <w:numId w:val="10"/>
        </w:numPr>
        <w:pBdr>
          <w:top w:val="nil"/>
          <w:left w:val="nil"/>
          <w:bottom w:val="nil"/>
          <w:right w:val="nil"/>
          <w:between w:val="nil"/>
        </w:pBdr>
        <w:spacing w:after="120"/>
        <w:rPr>
          <w:color w:val="000000"/>
        </w:rPr>
      </w:pPr>
      <w:r>
        <w:rPr>
          <w:color w:val="000000"/>
        </w:rPr>
        <w:t xml:space="preserve">Define types of data that </w:t>
      </w:r>
      <w:proofErr w:type="gramStart"/>
      <w:r>
        <w:rPr>
          <w:color w:val="000000"/>
        </w:rPr>
        <w:t>must be exchanged</w:t>
      </w:r>
      <w:proofErr w:type="gramEnd"/>
      <w:r>
        <w:rPr>
          <w:color w:val="000000"/>
        </w:rPr>
        <w:t xml:space="preserve"> to derive and validate fluxes from a constellation of space-based sensors to facilitate open data access (Rec#11)</w:t>
      </w:r>
      <w:r w:rsidR="00D03A93">
        <w:rPr>
          <w:color w:val="000000"/>
        </w:rPr>
        <w:t>.</w:t>
      </w:r>
    </w:p>
    <w:p w14:paraId="586C406F" w14:textId="77777777" w:rsidR="00063AC4" w:rsidRDefault="00063AC4" w:rsidP="00063AC4">
      <w:pPr>
        <w:pBdr>
          <w:top w:val="nil"/>
          <w:left w:val="nil"/>
          <w:bottom w:val="nil"/>
          <w:right w:val="nil"/>
          <w:between w:val="nil"/>
        </w:pBdr>
        <w:spacing w:after="120"/>
        <w:ind w:left="720"/>
        <w:rPr>
          <w:color w:val="000000"/>
        </w:rPr>
      </w:pPr>
    </w:p>
    <w:p w14:paraId="4BF0BD49" w14:textId="71DDA061" w:rsidR="00330A6B" w:rsidRPr="001D304D" w:rsidRDefault="00287EB0" w:rsidP="007058CC">
      <w:pPr>
        <w:pStyle w:val="Heading2"/>
      </w:pPr>
      <w:bookmarkStart w:id="34" w:name="_Toc21714996"/>
      <w:r w:rsidRPr="001D304D">
        <w:t>Role of WGCV/ACSG and GSICS</w:t>
      </w:r>
      <w:bookmarkEnd w:id="34"/>
      <w:r w:rsidRPr="001D304D">
        <w:t xml:space="preserve"> </w:t>
      </w:r>
    </w:p>
    <w:p w14:paraId="6D9A86FD" w14:textId="77777777" w:rsidR="00330A6B" w:rsidRDefault="00330A6B"/>
    <w:p w14:paraId="5C398035" w14:textId="4A2D109D" w:rsidR="00330A6B" w:rsidRDefault="00D03A93">
      <w:r>
        <w:t xml:space="preserve">The high levels of accuracy needed for GHG measurements place significant demands on the </w:t>
      </w:r>
      <w:r w:rsidR="00287EB0">
        <w:t>calibration</w:t>
      </w:r>
      <w:r>
        <w:t xml:space="preserve"> of individual sensors, the</w:t>
      </w:r>
      <w:r w:rsidR="00287EB0">
        <w:t xml:space="preserve"> inter-calibration</w:t>
      </w:r>
      <w:r>
        <w:t xml:space="preserve"> of sensors across the constellation</w:t>
      </w:r>
      <w:r w:rsidR="00287EB0">
        <w:t xml:space="preserve"> and </w:t>
      </w:r>
      <w:r>
        <w:t>the cross-</w:t>
      </w:r>
      <w:r w:rsidR="00287EB0">
        <w:t>validation</w:t>
      </w:r>
      <w:r>
        <w:t xml:space="preserve"> of the products retrieved from their measurements</w:t>
      </w:r>
      <w:r w:rsidR="00287EB0">
        <w:t xml:space="preserve">. These </w:t>
      </w:r>
      <w:r>
        <w:t xml:space="preserve">capabilities </w:t>
      </w:r>
      <w:proofErr w:type="gramStart"/>
      <w:r>
        <w:t>shall</w:t>
      </w:r>
      <w:r w:rsidR="00287EB0">
        <w:t xml:space="preserve"> be addressed</w:t>
      </w:r>
      <w:proofErr w:type="gramEnd"/>
      <w:r w:rsidR="00287EB0">
        <w:t xml:space="preserve"> through two existing (but re-enforced) groups covering both research and operational elements</w:t>
      </w:r>
      <w:r>
        <w:t xml:space="preserve"> of space-based sensor calibration and validation</w:t>
      </w:r>
      <w:r w:rsidR="00287EB0">
        <w:t xml:space="preserve">. These are the CEOS Working Group on Calibration and Validation (WGCV) through the Atmospheric Composition Subgroup (ACSG) and the Global Space-based </w:t>
      </w:r>
      <w:proofErr w:type="spellStart"/>
      <w:r w:rsidR="00287EB0">
        <w:t>Intercalibration</w:t>
      </w:r>
      <w:proofErr w:type="spellEnd"/>
      <w:r w:rsidR="00287EB0">
        <w:t xml:space="preserve"> System (GSICS)</w:t>
      </w:r>
      <w:r w:rsidR="00051D65">
        <w:t>,</w:t>
      </w:r>
      <w:r w:rsidR="00287EB0">
        <w:t xml:space="preserve"> under its newly re-established Reflective Solar Spectrometers Subgroup (UVSG). GSICS is an international collaborative effort initiated in 2005 by the WMO and CGMS to improve and to harmonize the quality of observations from operational weather and environmental satellites of the Global Observing System (GOS). GSICS aims </w:t>
      </w:r>
      <w:r w:rsidR="00051D65">
        <w:t>to</w:t>
      </w:r>
      <w:r w:rsidR="00287EB0">
        <w:t xml:space="preserve"> ensur</w:t>
      </w:r>
      <w:r w:rsidR="00051D65">
        <w:t>e</w:t>
      </w:r>
      <w:r w:rsidR="00287EB0">
        <w:t xml:space="preserve"> consistent accuracy among space-based observations worldwide for climate monitoring, weather forecasting, and environmental applications. This </w:t>
      </w:r>
      <w:proofErr w:type="gramStart"/>
      <w:r w:rsidR="00287EB0">
        <w:t>is achieved</w:t>
      </w:r>
      <w:proofErr w:type="gramEnd"/>
      <w:r w:rsidR="00287EB0">
        <w:t xml:space="preserve"> through a comprehensive calibration strategy</w:t>
      </w:r>
      <w:r w:rsidR="00345366">
        <w:t>,</w:t>
      </w:r>
      <w:r w:rsidR="00287EB0">
        <w:t xml:space="preserve"> which involves:</w:t>
      </w:r>
    </w:p>
    <w:p w14:paraId="24F86B77" w14:textId="4E446527" w:rsidR="00330A6B" w:rsidRPr="00A23959" w:rsidRDefault="004E3CE6">
      <w:pPr>
        <w:numPr>
          <w:ilvl w:val="0"/>
          <w:numId w:val="16"/>
        </w:numPr>
        <w:pBdr>
          <w:top w:val="nil"/>
          <w:left w:val="nil"/>
          <w:bottom w:val="nil"/>
          <w:right w:val="nil"/>
          <w:between w:val="nil"/>
        </w:pBdr>
        <w:spacing w:before="120" w:after="0"/>
        <w:rPr>
          <w:rFonts w:cstheme="majorHAnsi"/>
          <w:color w:val="000000"/>
        </w:rPr>
      </w:pPr>
      <w:r>
        <w:rPr>
          <w:rFonts w:eastAsia="Times New Roman" w:cstheme="majorHAnsi"/>
          <w:color w:val="000000"/>
        </w:rPr>
        <w:t>M</w:t>
      </w:r>
      <w:r w:rsidR="00287EB0" w:rsidRPr="00A23959">
        <w:rPr>
          <w:rFonts w:eastAsia="Times New Roman" w:cstheme="majorHAnsi"/>
          <w:color w:val="000000"/>
        </w:rPr>
        <w:t>onitoring instrument performance;</w:t>
      </w:r>
    </w:p>
    <w:p w14:paraId="693F7185" w14:textId="30E9640F" w:rsidR="00330A6B" w:rsidRPr="00A23959" w:rsidRDefault="004E3CE6">
      <w:pPr>
        <w:numPr>
          <w:ilvl w:val="0"/>
          <w:numId w:val="16"/>
        </w:numPr>
        <w:pBdr>
          <w:top w:val="nil"/>
          <w:left w:val="nil"/>
          <w:bottom w:val="nil"/>
          <w:right w:val="nil"/>
          <w:between w:val="nil"/>
        </w:pBdr>
        <w:spacing w:after="0"/>
        <w:rPr>
          <w:rFonts w:cstheme="majorHAnsi"/>
          <w:color w:val="000000"/>
        </w:rPr>
      </w:pPr>
      <w:r>
        <w:rPr>
          <w:rFonts w:eastAsia="Times New Roman" w:cstheme="majorHAnsi"/>
          <w:color w:val="000000"/>
        </w:rPr>
        <w:t>O</w:t>
      </w:r>
      <w:r w:rsidR="00287EB0" w:rsidRPr="00A23959">
        <w:rPr>
          <w:rFonts w:eastAsia="Times New Roman" w:cstheme="majorHAnsi"/>
          <w:color w:val="000000"/>
        </w:rPr>
        <w:t>perational inter-calibration of satellite instruments;</w:t>
      </w:r>
    </w:p>
    <w:p w14:paraId="41F2EB7C" w14:textId="04B05397" w:rsidR="00330A6B" w:rsidRPr="00A23959" w:rsidRDefault="004E3CE6">
      <w:pPr>
        <w:numPr>
          <w:ilvl w:val="0"/>
          <w:numId w:val="16"/>
        </w:numPr>
        <w:pBdr>
          <w:top w:val="nil"/>
          <w:left w:val="nil"/>
          <w:bottom w:val="nil"/>
          <w:right w:val="nil"/>
          <w:between w:val="nil"/>
        </w:pBdr>
        <w:spacing w:after="0"/>
        <w:rPr>
          <w:rFonts w:cstheme="majorHAnsi"/>
          <w:color w:val="000000"/>
        </w:rPr>
      </w:pPr>
      <w:r>
        <w:rPr>
          <w:rFonts w:eastAsia="Times New Roman" w:cstheme="majorHAnsi"/>
          <w:color w:val="000000"/>
        </w:rPr>
        <w:t>T</w:t>
      </w:r>
      <w:r w:rsidR="00287EB0" w:rsidRPr="00A23959">
        <w:rPr>
          <w:rFonts w:eastAsia="Times New Roman" w:cstheme="majorHAnsi"/>
          <w:color w:val="000000"/>
        </w:rPr>
        <w:t>ying the measurements to absolute references and standards;</w:t>
      </w:r>
      <w:r w:rsidR="00345366" w:rsidRPr="00A23959">
        <w:rPr>
          <w:rFonts w:eastAsia="Times New Roman" w:cstheme="majorHAnsi"/>
          <w:color w:val="000000"/>
        </w:rPr>
        <w:t xml:space="preserve"> and</w:t>
      </w:r>
    </w:p>
    <w:p w14:paraId="1F40CAAB" w14:textId="00E81D7B" w:rsidR="00330A6B" w:rsidRPr="00A23959" w:rsidRDefault="004E3CE6">
      <w:pPr>
        <w:numPr>
          <w:ilvl w:val="0"/>
          <w:numId w:val="16"/>
        </w:numPr>
        <w:pBdr>
          <w:top w:val="nil"/>
          <w:left w:val="nil"/>
          <w:bottom w:val="nil"/>
          <w:right w:val="nil"/>
          <w:between w:val="nil"/>
        </w:pBdr>
        <w:spacing w:after="120"/>
        <w:rPr>
          <w:rFonts w:cstheme="majorHAnsi"/>
          <w:color w:val="000000"/>
        </w:rPr>
      </w:pPr>
      <w:r>
        <w:rPr>
          <w:rFonts w:eastAsia="Times New Roman" w:cstheme="majorHAnsi"/>
          <w:color w:val="000000"/>
        </w:rPr>
        <w:t>R</w:t>
      </w:r>
      <w:r w:rsidR="00287EB0" w:rsidRPr="00A23959">
        <w:rPr>
          <w:rFonts w:eastAsia="Times New Roman" w:cstheme="majorHAnsi"/>
          <w:color w:val="000000"/>
        </w:rPr>
        <w:t>ecalibration of archived data.</w:t>
      </w:r>
    </w:p>
    <w:p w14:paraId="13ABB4B3" w14:textId="63BFB8A5" w:rsidR="00330A6B" w:rsidRDefault="00287EB0">
      <w:r>
        <w:t>GSICS contributes to the integration of satellite data within the WMO Integrated Global Observing Systems (WIGOS) and within the Global Earth Observation System of Systems (GEOSS) of the Group on Earth Observations (GEO) through the subgroup addressing spectrometers operating in the UV –SWIR range, with the following focus areas:</w:t>
      </w:r>
    </w:p>
    <w:p w14:paraId="3D4001CE" w14:textId="4D1B7E4A" w:rsidR="00330A6B" w:rsidRPr="00A23959" w:rsidRDefault="00287EB0">
      <w:pPr>
        <w:numPr>
          <w:ilvl w:val="0"/>
          <w:numId w:val="18"/>
        </w:numPr>
        <w:pBdr>
          <w:top w:val="nil"/>
          <w:left w:val="nil"/>
          <w:bottom w:val="nil"/>
          <w:right w:val="nil"/>
          <w:between w:val="nil"/>
        </w:pBdr>
        <w:spacing w:before="120" w:after="0"/>
        <w:rPr>
          <w:rFonts w:cstheme="majorHAnsi"/>
          <w:color w:val="000000"/>
        </w:rPr>
      </w:pPr>
      <w:r w:rsidRPr="00A23959">
        <w:rPr>
          <w:rFonts w:eastAsia="Times New Roman" w:cstheme="majorHAnsi"/>
          <w:color w:val="000000"/>
        </w:rPr>
        <w:t xml:space="preserve">Pre-launch calibration and </w:t>
      </w:r>
      <w:proofErr w:type="spellStart"/>
      <w:r w:rsidRPr="00A23959">
        <w:rPr>
          <w:rFonts w:eastAsia="Times New Roman" w:cstheme="majorHAnsi"/>
          <w:color w:val="000000"/>
        </w:rPr>
        <w:t>characterisation</w:t>
      </w:r>
      <w:proofErr w:type="spellEnd"/>
      <w:r w:rsidRPr="00A23959">
        <w:rPr>
          <w:rFonts w:eastAsia="Times New Roman" w:cstheme="majorHAnsi"/>
          <w:color w:val="000000"/>
        </w:rPr>
        <w:t xml:space="preserve"> for all</w:t>
      </w:r>
      <w:r w:rsidR="00345366" w:rsidRPr="00A23959">
        <w:rPr>
          <w:rFonts w:eastAsia="Times New Roman" w:cstheme="majorHAnsi"/>
          <w:color w:val="000000"/>
        </w:rPr>
        <w:t xml:space="preserve"> sensors,</w:t>
      </w:r>
      <w:r w:rsidRPr="00A23959">
        <w:rPr>
          <w:rFonts w:eastAsia="Times New Roman" w:cstheme="majorHAnsi"/>
          <w:color w:val="000000"/>
        </w:rPr>
        <w:t xml:space="preserve"> but particularly for GHG missions;</w:t>
      </w:r>
    </w:p>
    <w:p w14:paraId="5B922050" w14:textId="77777777" w:rsidR="00330A6B" w:rsidRPr="00A23959" w:rsidRDefault="00287EB0">
      <w:pPr>
        <w:numPr>
          <w:ilvl w:val="0"/>
          <w:numId w:val="18"/>
        </w:numPr>
        <w:pBdr>
          <w:top w:val="nil"/>
          <w:left w:val="nil"/>
          <w:bottom w:val="nil"/>
          <w:right w:val="nil"/>
          <w:between w:val="nil"/>
        </w:pBdr>
        <w:spacing w:after="0"/>
        <w:rPr>
          <w:rFonts w:cstheme="majorHAnsi"/>
          <w:color w:val="000000"/>
        </w:rPr>
      </w:pPr>
      <w:r w:rsidRPr="00A23959">
        <w:rPr>
          <w:rFonts w:eastAsia="Times New Roman" w:cstheme="majorHAnsi"/>
          <w:color w:val="000000"/>
        </w:rPr>
        <w:t>Solar calibration including interactions with the solar community which have already been initiated;</w:t>
      </w:r>
    </w:p>
    <w:p w14:paraId="0FEE8D29" w14:textId="77777777" w:rsidR="00330A6B" w:rsidRPr="00A23959" w:rsidRDefault="00287EB0">
      <w:pPr>
        <w:numPr>
          <w:ilvl w:val="0"/>
          <w:numId w:val="18"/>
        </w:numPr>
        <w:pBdr>
          <w:top w:val="nil"/>
          <w:left w:val="nil"/>
          <w:bottom w:val="nil"/>
          <w:right w:val="nil"/>
          <w:between w:val="nil"/>
        </w:pBdr>
        <w:spacing w:after="0"/>
        <w:rPr>
          <w:rFonts w:cstheme="majorHAnsi"/>
          <w:color w:val="000000"/>
        </w:rPr>
      </w:pPr>
      <w:r w:rsidRPr="00A23959">
        <w:rPr>
          <w:rFonts w:eastAsia="Times New Roman" w:cstheme="majorHAnsi"/>
          <w:color w:val="000000"/>
        </w:rPr>
        <w:t>Lunar calibration where the focus will be on UV and spectrally resolved data, contributing to other lunar calibration activities;</w:t>
      </w:r>
    </w:p>
    <w:p w14:paraId="4DAA072E" w14:textId="5E65C866" w:rsidR="00330A6B" w:rsidRPr="00A23959" w:rsidRDefault="00287EB0">
      <w:pPr>
        <w:numPr>
          <w:ilvl w:val="0"/>
          <w:numId w:val="18"/>
        </w:numPr>
        <w:pBdr>
          <w:top w:val="nil"/>
          <w:left w:val="nil"/>
          <w:bottom w:val="nil"/>
          <w:right w:val="nil"/>
          <w:between w:val="nil"/>
        </w:pBdr>
        <w:spacing w:after="0"/>
        <w:rPr>
          <w:rFonts w:cstheme="majorHAnsi"/>
          <w:color w:val="000000"/>
        </w:rPr>
      </w:pPr>
      <w:r w:rsidRPr="00A23959">
        <w:rPr>
          <w:rFonts w:eastAsia="Times New Roman" w:cstheme="majorHAnsi"/>
          <w:color w:val="000000"/>
        </w:rPr>
        <w:t>Polarization (also for lunar calibration where possible);</w:t>
      </w:r>
      <w:r w:rsidR="00051D65">
        <w:rPr>
          <w:rFonts w:eastAsia="Times New Roman" w:cstheme="majorHAnsi"/>
          <w:color w:val="000000"/>
        </w:rPr>
        <w:t xml:space="preserve"> and</w:t>
      </w:r>
    </w:p>
    <w:p w14:paraId="052D584E" w14:textId="734BEB6A" w:rsidR="00582584" w:rsidRDefault="00287EB0" w:rsidP="00753993">
      <w:pPr>
        <w:numPr>
          <w:ilvl w:val="0"/>
          <w:numId w:val="18"/>
        </w:numPr>
        <w:pBdr>
          <w:top w:val="nil"/>
          <w:left w:val="nil"/>
          <w:bottom w:val="nil"/>
          <w:right w:val="nil"/>
          <w:between w:val="nil"/>
        </w:pBdr>
        <w:spacing w:after="120"/>
        <w:rPr>
          <w:rFonts w:cstheme="majorHAnsi"/>
          <w:color w:val="000000"/>
        </w:rPr>
      </w:pPr>
      <w:r w:rsidRPr="00A23959">
        <w:rPr>
          <w:rFonts w:eastAsia="Times New Roman" w:cstheme="majorHAnsi"/>
          <w:color w:val="000000"/>
        </w:rPr>
        <w:lastRenderedPageBreak/>
        <w:t xml:space="preserve">Inter-calibration and development of common methods for use of pseudo-invariant targets &amp; vicarious calibration sites (with a homogeneous surface over a sufficiently large area) </w:t>
      </w:r>
      <w:proofErr w:type="gramStart"/>
      <w:r w:rsidRPr="00A23959">
        <w:rPr>
          <w:rFonts w:eastAsia="Times New Roman" w:cstheme="majorHAnsi"/>
          <w:color w:val="000000"/>
        </w:rPr>
        <w:t>will be further developed</w:t>
      </w:r>
      <w:proofErr w:type="gramEnd"/>
      <w:r w:rsidR="00345366" w:rsidRPr="00A23959">
        <w:rPr>
          <w:rFonts w:eastAsia="Times New Roman" w:cstheme="majorHAnsi"/>
          <w:color w:val="000000"/>
        </w:rPr>
        <w:t xml:space="preserve"> with an intensified</w:t>
      </w:r>
      <w:r w:rsidRPr="00A23959">
        <w:rPr>
          <w:rFonts w:eastAsia="Times New Roman" w:cstheme="majorHAnsi"/>
          <w:color w:val="000000"/>
        </w:rPr>
        <w:t xml:space="preserve"> focus is on atmospheric absorption.</w:t>
      </w:r>
    </w:p>
    <w:p w14:paraId="42933D24" w14:textId="01921437" w:rsidR="00582584" w:rsidRDefault="00582584" w:rsidP="007058CC">
      <w:pPr>
        <w:pBdr>
          <w:top w:val="nil"/>
          <w:left w:val="nil"/>
          <w:bottom w:val="nil"/>
          <w:right w:val="nil"/>
          <w:between w:val="nil"/>
        </w:pBdr>
        <w:spacing w:after="120"/>
        <w:rPr>
          <w:rFonts w:cstheme="majorHAnsi"/>
          <w:color w:val="000000"/>
        </w:rPr>
      </w:pPr>
    </w:p>
    <w:p w14:paraId="5C1E450A" w14:textId="2ABB552D" w:rsidR="00582584" w:rsidRDefault="00582584" w:rsidP="007058CC">
      <w:pPr>
        <w:pStyle w:val="Heading2"/>
      </w:pPr>
      <w:bookmarkStart w:id="35" w:name="_Toc21714997"/>
      <w:r>
        <w:t>Role of other CEOS and CGMS Entities</w:t>
      </w:r>
      <w:bookmarkEnd w:id="35"/>
    </w:p>
    <w:p w14:paraId="67A94DA3" w14:textId="77777777" w:rsidR="00582584" w:rsidRDefault="00582584" w:rsidP="00582584"/>
    <w:p w14:paraId="6FBF5884" w14:textId="42B55AF1" w:rsidR="00582584" w:rsidRPr="007058CC" w:rsidRDefault="00582584" w:rsidP="007058CC">
      <w:r>
        <w:t xml:space="preserve">Other CEOS and CGMS organizations could make significant contributions to the GHG roadmap. For example, </w:t>
      </w:r>
      <w:r w:rsidR="0070356B">
        <w:t xml:space="preserve">involvement of </w:t>
      </w:r>
      <w:r w:rsidRPr="00582584">
        <w:t xml:space="preserve">CGMS </w:t>
      </w:r>
      <w:r>
        <w:t xml:space="preserve">Working Group-1 could </w:t>
      </w:r>
      <w:r w:rsidR="0070356B">
        <w:t xml:space="preserve">help to ensure that </w:t>
      </w:r>
      <w:r>
        <w:t xml:space="preserve">the implementation of the </w:t>
      </w:r>
      <w:r w:rsidR="0070356B">
        <w:t xml:space="preserve">GHG </w:t>
      </w:r>
      <w:r>
        <w:t>roadmap addresses the</w:t>
      </w:r>
      <w:r w:rsidRPr="00582584">
        <w:t xml:space="preserve"> </w:t>
      </w:r>
      <w:r w:rsidR="0070356B">
        <w:t xml:space="preserve">objectives of the </w:t>
      </w:r>
      <w:r w:rsidR="0070356B" w:rsidRPr="0070356B">
        <w:t>WMO Integrated Global Observing System (WIGOS)</w:t>
      </w:r>
      <w:r w:rsidR="0070356B">
        <w:t xml:space="preserve"> vision. Interactions with CGMS WG-II could facilitate the</w:t>
      </w:r>
      <w:r w:rsidRPr="00582584">
        <w:t xml:space="preserve"> definition and application of standards for operational GHG constellation products and operational aspects of the </w:t>
      </w:r>
      <w:proofErr w:type="gramStart"/>
      <w:r w:rsidRPr="00582584">
        <w:t xml:space="preserve">satellite data production </w:t>
      </w:r>
      <w:r w:rsidR="0070356B">
        <w:t>systems</w:t>
      </w:r>
      <w:proofErr w:type="gramEnd"/>
      <w:r w:rsidR="0070356B">
        <w:t xml:space="preserve"> at international level. CGMS WG-IV could</w:t>
      </w:r>
      <w:r w:rsidRPr="00582584">
        <w:t xml:space="preserve"> address operational access and end user support for GHG constellation pro</w:t>
      </w:r>
      <w:r w:rsidR="0070356B">
        <w:t xml:space="preserve">ducts in cooperation with WGISS. Finally, close collaboration with </w:t>
      </w:r>
      <w:r w:rsidRPr="00582584">
        <w:t xml:space="preserve">CEOS </w:t>
      </w:r>
      <w:proofErr w:type="spellStart"/>
      <w:r w:rsidRPr="00582584">
        <w:t>WGCapD</w:t>
      </w:r>
      <w:proofErr w:type="spellEnd"/>
      <w:r w:rsidRPr="00582584">
        <w:t xml:space="preserve"> and CGMS </w:t>
      </w:r>
      <w:r w:rsidR="00753993">
        <w:t>and WMO Virtual Lab would facilitate the</w:t>
      </w:r>
      <w:r w:rsidRPr="00582584">
        <w:t xml:space="preserve"> engage</w:t>
      </w:r>
      <w:r w:rsidR="00753993">
        <w:t>ment</w:t>
      </w:r>
      <w:r w:rsidRPr="00582584">
        <w:t xml:space="preserve"> in necessary capacity building activities related to the usage of GHG inventory products.</w:t>
      </w:r>
    </w:p>
    <w:p w14:paraId="1AA81256" w14:textId="77777777" w:rsidR="00330A6B" w:rsidRPr="00345366" w:rsidRDefault="00287EB0" w:rsidP="00345366">
      <w:pPr>
        <w:pStyle w:val="Heading1"/>
      </w:pPr>
      <w:bookmarkStart w:id="36" w:name="_Toc21714998"/>
      <w:r w:rsidRPr="00345366">
        <w:t>Roadmap actions to 2021 and 2025</w:t>
      </w:r>
      <w:bookmarkEnd w:id="36"/>
    </w:p>
    <w:p w14:paraId="3CD42EE1" w14:textId="77777777" w:rsidR="00345366" w:rsidRDefault="00287EB0" w:rsidP="00345366">
      <w:pPr>
        <w:pStyle w:val="Heading2"/>
        <w:numPr>
          <w:ilvl w:val="1"/>
          <w:numId w:val="57"/>
        </w:numPr>
      </w:pPr>
      <w:bookmarkStart w:id="37" w:name="_Toc21714999"/>
      <w:r>
        <w:t xml:space="preserve">Actions for </w:t>
      </w:r>
      <w:proofErr w:type="spellStart"/>
      <w:r>
        <w:t>WGClimate</w:t>
      </w:r>
      <w:proofErr w:type="spellEnd"/>
      <w:r>
        <w:t xml:space="preserve"> GHG Task Team</w:t>
      </w:r>
      <w:bookmarkEnd w:id="37"/>
    </w:p>
    <w:p w14:paraId="33174C13" w14:textId="77777777" w:rsidR="00345366" w:rsidRDefault="00BB1FA5" w:rsidP="00345366">
      <w:r>
        <w:t xml:space="preserve">Actions for the </w:t>
      </w:r>
      <w:r w:rsidR="0015551D">
        <w:t>Task</w:t>
      </w:r>
      <w:r>
        <w:t xml:space="preserve"> Team </w:t>
      </w:r>
      <w:proofErr w:type="gramStart"/>
      <w:r>
        <w:t>are mostly derived</w:t>
      </w:r>
      <w:proofErr w:type="gramEnd"/>
      <w:r>
        <w:t xml:space="preserve"> from its coordination and liaison responsibility. Some of those actions are continuous or recurrent items to facilitate the coordination:</w:t>
      </w:r>
    </w:p>
    <w:p w14:paraId="1FCE42AE" w14:textId="3B368C2D" w:rsidR="00BB1FA5" w:rsidRDefault="00E27DD3" w:rsidP="00A23959">
      <w:pPr>
        <w:pStyle w:val="ListParagraph"/>
        <w:numPr>
          <w:ilvl w:val="0"/>
          <w:numId w:val="63"/>
        </w:numPr>
      </w:pPr>
      <w:r>
        <w:t>E</w:t>
      </w:r>
      <w:r w:rsidR="00BB1FA5">
        <w:t>stablish a mechanism to track the implementation</w:t>
      </w:r>
      <w:r>
        <w:t xml:space="preserve"> of the actions defined in this document</w:t>
      </w:r>
      <w:r w:rsidR="00BB1FA5">
        <w:t>;</w:t>
      </w:r>
    </w:p>
    <w:p w14:paraId="46E0D584" w14:textId="5CAFBC71" w:rsidR="00BB1FA5" w:rsidRDefault="00BB1FA5" w:rsidP="00A23959">
      <w:pPr>
        <w:pStyle w:val="ListParagraph"/>
        <w:numPr>
          <w:ilvl w:val="0"/>
          <w:numId w:val="63"/>
        </w:numPr>
      </w:pPr>
      <w:r>
        <w:t>D</w:t>
      </w:r>
      <w:r w:rsidR="00E27DD3">
        <w:t>evelop a d</w:t>
      </w:r>
      <w:r>
        <w:t>etail</w:t>
      </w:r>
      <w:r w:rsidR="00E27DD3">
        <w:t>ed</w:t>
      </w:r>
      <w:r>
        <w:t xml:space="preserve"> work plan </w:t>
      </w:r>
      <w:r w:rsidR="00E27DD3">
        <w:t xml:space="preserve">to execute </w:t>
      </w:r>
      <w:r>
        <w:t>the roadmap objectives and actions including a coordination frame (first version end of 2019 including work packages, schedule, and timelines);</w:t>
      </w:r>
    </w:p>
    <w:p w14:paraId="3A6C0DA8" w14:textId="5F6EE2E2" w:rsidR="00BB1FA5" w:rsidRDefault="00E27DD3" w:rsidP="00A23959">
      <w:pPr>
        <w:pStyle w:val="ListParagraph"/>
        <w:numPr>
          <w:ilvl w:val="0"/>
          <w:numId w:val="63"/>
        </w:numPr>
      </w:pPr>
      <w:r>
        <w:t>Establish</w:t>
      </w:r>
      <w:r w:rsidR="00BB1FA5">
        <w:t xml:space="preserve"> progress review meetings on </w:t>
      </w:r>
      <w:r>
        <w:t xml:space="preserve">a </w:t>
      </w:r>
      <w:r w:rsidR="00BB1FA5">
        <w:t>regular bas</w:t>
      </w:r>
      <w:r>
        <w:t>is</w:t>
      </w:r>
      <w:r w:rsidR="00BB1FA5">
        <w:t xml:space="preserve">, ideally side-by-side with </w:t>
      </w:r>
      <w:proofErr w:type="spellStart"/>
      <w:r w:rsidR="00BB1FA5">
        <w:t>WGClimate</w:t>
      </w:r>
      <w:proofErr w:type="spellEnd"/>
      <w:r w:rsidR="00BB1FA5">
        <w:t xml:space="preserve"> meetings;</w:t>
      </w:r>
    </w:p>
    <w:p w14:paraId="5E54C4AA" w14:textId="54706E62" w:rsidR="00653450" w:rsidRDefault="00E27DD3" w:rsidP="00A23959">
      <w:pPr>
        <w:pStyle w:val="ListParagraph"/>
        <w:numPr>
          <w:ilvl w:val="0"/>
          <w:numId w:val="63"/>
        </w:numPr>
      </w:pPr>
      <w:r>
        <w:t>C</w:t>
      </w:r>
      <w:r w:rsidR="00653450">
        <w:t xml:space="preserve">ontinuously </w:t>
      </w:r>
      <w:r>
        <w:t xml:space="preserve">track </w:t>
      </w:r>
      <w:r w:rsidR="00653450">
        <w:t>the schedule and progress between progress</w:t>
      </w:r>
      <w:r>
        <w:t xml:space="preserve"> review</w:t>
      </w:r>
      <w:r w:rsidR="00653450">
        <w:t xml:space="preserve"> meetings; </w:t>
      </w:r>
    </w:p>
    <w:p w14:paraId="75099767" w14:textId="54F3B002" w:rsidR="00BB1FA5" w:rsidRDefault="00BB1FA5" w:rsidP="00A23959">
      <w:pPr>
        <w:pStyle w:val="ListParagraph"/>
        <w:numPr>
          <w:ilvl w:val="0"/>
          <w:numId w:val="63"/>
        </w:numPr>
      </w:pPr>
      <w:r>
        <w:t xml:space="preserve">Report </w:t>
      </w:r>
      <w:r w:rsidR="00EA692D">
        <w:t xml:space="preserve">progress </w:t>
      </w:r>
      <w:r>
        <w:t xml:space="preserve">to CEOS and CGMS </w:t>
      </w:r>
      <w:r w:rsidR="00EA692D">
        <w:t>principals</w:t>
      </w:r>
      <w:r>
        <w:t xml:space="preserve"> based on the progress reviews and the input of the contributing bodies</w:t>
      </w:r>
      <w:r w:rsidR="00EA692D">
        <w:t>;</w:t>
      </w:r>
      <w:r w:rsidR="0015551D">
        <w:t xml:space="preserve"> a two years progress report is recommended</w:t>
      </w:r>
      <w:r>
        <w:t>;</w:t>
      </w:r>
    </w:p>
    <w:p w14:paraId="0C024EF8" w14:textId="23B4240E" w:rsidR="00BB1FA5" w:rsidRDefault="00BB1FA5" w:rsidP="00A23959">
      <w:pPr>
        <w:pStyle w:val="ListParagraph"/>
        <w:numPr>
          <w:ilvl w:val="0"/>
          <w:numId w:val="63"/>
        </w:numPr>
      </w:pPr>
      <w:r>
        <w:t xml:space="preserve">Identify development risks and </w:t>
      </w:r>
      <w:r w:rsidR="00E27DD3">
        <w:t>recommend</w:t>
      </w:r>
      <w:r>
        <w:t xml:space="preserve"> mitigation or adaptation actions;</w:t>
      </w:r>
    </w:p>
    <w:p w14:paraId="4F9C4002" w14:textId="759B0E6B" w:rsidR="0015551D" w:rsidRDefault="00E27DD3" w:rsidP="00A23959">
      <w:pPr>
        <w:pStyle w:val="ListParagraph"/>
        <w:numPr>
          <w:ilvl w:val="0"/>
          <w:numId w:val="63"/>
        </w:numPr>
      </w:pPr>
      <w:r>
        <w:t>Exploit the</w:t>
      </w:r>
      <w:r w:rsidR="0015551D">
        <w:t xml:space="preserve"> </w:t>
      </w:r>
      <w:proofErr w:type="spellStart"/>
      <w:r w:rsidR="0015551D">
        <w:t>WGClimate</w:t>
      </w:r>
      <w:proofErr w:type="spellEnd"/>
      <w:r w:rsidR="0015551D">
        <w:t xml:space="preserve"> </w:t>
      </w:r>
      <w:r>
        <w:t xml:space="preserve">interface </w:t>
      </w:r>
      <w:r w:rsidR="0015551D">
        <w:t>with UNFCCC, SBSTA and COP</w:t>
      </w:r>
      <w:r>
        <w:t xml:space="preserve"> to foster interactions with stakeholders</w:t>
      </w:r>
      <w:r w:rsidR="0015551D">
        <w:t>;</w:t>
      </w:r>
    </w:p>
    <w:p w14:paraId="3850643E" w14:textId="7410991B" w:rsidR="00BB1FA5" w:rsidRDefault="0015551D" w:rsidP="00A23959">
      <w:pPr>
        <w:pStyle w:val="ListParagraph"/>
        <w:numPr>
          <w:ilvl w:val="0"/>
          <w:numId w:val="63"/>
        </w:numPr>
      </w:pPr>
      <w:r>
        <w:t xml:space="preserve">Include </w:t>
      </w:r>
      <w:r w:rsidR="00582A02">
        <w:t>other</w:t>
      </w:r>
      <w:r>
        <w:t xml:space="preserve"> CEOS or CGMS bodies</w:t>
      </w:r>
      <w:r w:rsidR="00582A02">
        <w:t>, where appropriate</w:t>
      </w:r>
      <w:r>
        <w:t xml:space="preserve"> </w:t>
      </w:r>
      <w:r w:rsidR="00582A02">
        <w:t xml:space="preserve"> to meet the objectives of the work plan</w:t>
      </w:r>
      <w:r>
        <w:t>, if needed; and</w:t>
      </w:r>
    </w:p>
    <w:p w14:paraId="7F227E5A" w14:textId="77777777" w:rsidR="0015551D" w:rsidRDefault="0015551D" w:rsidP="00A23959">
      <w:pPr>
        <w:pStyle w:val="ListParagraph"/>
        <w:numPr>
          <w:ilvl w:val="0"/>
          <w:numId w:val="63"/>
        </w:numPr>
      </w:pPr>
      <w:r>
        <w:t>Ensure consistency and sustainability between the prototype and operational development approaches.</w:t>
      </w:r>
    </w:p>
    <w:p w14:paraId="2F25CE4C" w14:textId="12128378" w:rsidR="00B05BA6" w:rsidRDefault="0015551D" w:rsidP="00B05BA6">
      <w:r>
        <w:t xml:space="preserve">In close cooperation with the </w:t>
      </w:r>
      <w:proofErr w:type="spellStart"/>
      <w:r>
        <w:t>WGClimate</w:t>
      </w:r>
      <w:proofErr w:type="spellEnd"/>
      <w:r>
        <w:t xml:space="preserve"> lead</w:t>
      </w:r>
      <w:r w:rsidR="00582A02">
        <w:t>,</w:t>
      </w:r>
      <w:r w:rsidR="00B05BA6">
        <w:t xml:space="preserve"> as </w:t>
      </w:r>
      <w:r w:rsidR="00582A02">
        <w:t xml:space="preserve">the </w:t>
      </w:r>
      <w:r w:rsidR="00B05BA6">
        <w:t xml:space="preserve">CEOS </w:t>
      </w:r>
      <w:proofErr w:type="spellStart"/>
      <w:r w:rsidR="00B05BA6">
        <w:t>PoC</w:t>
      </w:r>
      <w:proofErr w:type="spellEnd"/>
      <w:r w:rsidR="00B05BA6">
        <w:t xml:space="preserve"> to UNFCCC, SBSTA, and COP, the </w:t>
      </w:r>
      <w:r w:rsidR="00582A02">
        <w:t>T</w:t>
      </w:r>
      <w:r w:rsidR="00B05BA6">
        <w:t xml:space="preserve">ask </w:t>
      </w:r>
      <w:r w:rsidR="00582A02">
        <w:t>T</w:t>
      </w:r>
      <w:r w:rsidR="00B05BA6">
        <w:t xml:space="preserve">eam </w:t>
      </w:r>
      <w:r w:rsidR="00582A02">
        <w:t xml:space="preserve">will </w:t>
      </w:r>
      <w:r w:rsidR="00B05BA6">
        <w:t xml:space="preserve">support outreach </w:t>
      </w:r>
      <w:r w:rsidR="00582A02">
        <w:t xml:space="preserve">activities </w:t>
      </w:r>
      <w:r w:rsidR="00B05BA6">
        <w:t>during COP and Earth Information Days (EID)</w:t>
      </w:r>
      <w:r w:rsidR="00582A02">
        <w:t>,</w:t>
      </w:r>
      <w:r w:rsidR="00B05BA6">
        <w:t xml:space="preserve"> </w:t>
      </w:r>
      <w:r w:rsidR="00582A02">
        <w:t>increasing</w:t>
      </w:r>
      <w:r w:rsidR="00B05BA6">
        <w:t xml:space="preserve"> awareness</w:t>
      </w:r>
      <w:r w:rsidR="00582A02">
        <w:t xml:space="preserve"> and establishing contacts with </w:t>
      </w:r>
      <w:r w:rsidR="00B05BA6">
        <w:t xml:space="preserve">the </w:t>
      </w:r>
      <w:r w:rsidR="00582A02">
        <w:t xml:space="preserve">national GHG </w:t>
      </w:r>
      <w:r w:rsidR="00B05BA6">
        <w:t>inventory communities.</w:t>
      </w:r>
      <w:r w:rsidR="00EA692D">
        <w:t xml:space="preserve"> </w:t>
      </w:r>
      <w:r w:rsidR="00582A02">
        <w:t xml:space="preserve">To actively engage its </w:t>
      </w:r>
      <w:r w:rsidR="00B05BA6">
        <w:t>user communities</w:t>
      </w:r>
      <w:r w:rsidR="00D04E49">
        <w:t xml:space="preserve"> and bridg</w:t>
      </w:r>
      <w:r w:rsidR="00582A02">
        <w:t>e</w:t>
      </w:r>
      <w:r w:rsidR="00D04E49">
        <w:t xml:space="preserve"> the gap between satellite products</w:t>
      </w:r>
      <w:r w:rsidR="00582A02">
        <w:t xml:space="preserve"> and </w:t>
      </w:r>
      <w:r w:rsidR="00EA692D">
        <w:t xml:space="preserve">national </w:t>
      </w:r>
      <w:r w:rsidR="00582A02">
        <w:t>statistical GHG inventories</w:t>
      </w:r>
      <w:r w:rsidR="00B05BA6">
        <w:t>, the Task Team</w:t>
      </w:r>
      <w:r w:rsidR="00582A02">
        <w:t xml:space="preserve"> will interact </w:t>
      </w:r>
      <w:r w:rsidR="00B05BA6">
        <w:t xml:space="preserve">with the </w:t>
      </w:r>
      <w:r w:rsidR="00EA692D">
        <w:t xml:space="preserve">national </w:t>
      </w:r>
      <w:r w:rsidR="00B05BA6">
        <w:t xml:space="preserve">inventory community </w:t>
      </w:r>
      <w:r w:rsidR="00D04E49">
        <w:t xml:space="preserve">and the modelling communities </w:t>
      </w:r>
      <w:r w:rsidR="00B05BA6">
        <w:t>by</w:t>
      </w:r>
      <w:r w:rsidR="00582A02">
        <w:t>:</w:t>
      </w:r>
    </w:p>
    <w:p w14:paraId="58680D61" w14:textId="24B06335" w:rsidR="00B05BA6" w:rsidRDefault="00B05BA6" w:rsidP="00A23959">
      <w:pPr>
        <w:pStyle w:val="ListParagraph"/>
        <w:numPr>
          <w:ilvl w:val="0"/>
          <w:numId w:val="65"/>
        </w:numPr>
      </w:pPr>
      <w:r>
        <w:t xml:space="preserve">Seeking an annually exchange with the inventory </w:t>
      </w:r>
      <w:r w:rsidR="00D04E49">
        <w:t xml:space="preserve">and modelling </w:t>
      </w:r>
      <w:r>
        <w:t>communities;</w:t>
      </w:r>
    </w:p>
    <w:p w14:paraId="2AD61EED" w14:textId="77777777" w:rsidR="00B05BA6" w:rsidRDefault="00B05BA6" w:rsidP="00A23959">
      <w:pPr>
        <w:pStyle w:val="ListParagraph"/>
        <w:numPr>
          <w:ilvl w:val="0"/>
          <w:numId w:val="65"/>
        </w:numPr>
      </w:pPr>
      <w:r>
        <w:lastRenderedPageBreak/>
        <w:t xml:space="preserve">Supporting feedback </w:t>
      </w:r>
      <w:r w:rsidR="00D04E49">
        <w:t xml:space="preserve">utilization </w:t>
      </w:r>
      <w:r>
        <w:t>from user community on product</w:t>
      </w:r>
      <w:r w:rsidR="00D04E49">
        <w:t xml:space="preserve"> development. A first meeting is envisaged in Q4 / 2019 aside the annual GEIA meeting;</w:t>
      </w:r>
    </w:p>
    <w:p w14:paraId="736D3805" w14:textId="77777777" w:rsidR="00D04E49" w:rsidRDefault="00D04E49" w:rsidP="00A23959">
      <w:pPr>
        <w:pStyle w:val="ListParagraph"/>
        <w:numPr>
          <w:ilvl w:val="0"/>
          <w:numId w:val="65"/>
        </w:numPr>
      </w:pPr>
      <w:r>
        <w:t>Planning a workshop with modelling community ideally in combination</w:t>
      </w:r>
      <w:r w:rsidR="002B31F6">
        <w:t xml:space="preserve"> </w:t>
      </w:r>
      <w:r>
        <w:t xml:space="preserve">with WMO IG3IS/TRANSCOM </w:t>
      </w:r>
      <w:r w:rsidR="00653450">
        <w:t>(Q2 / 2021)</w:t>
      </w:r>
      <w:r w:rsidR="002B31F6">
        <w:t>, detailed planning for further regular workshops/meetings</w:t>
      </w:r>
      <w:r w:rsidR="00653450">
        <w:t>;</w:t>
      </w:r>
    </w:p>
    <w:p w14:paraId="400B146C" w14:textId="77777777" w:rsidR="00653450" w:rsidRDefault="00653450" w:rsidP="00653450">
      <w:r>
        <w:t>In addition, the Task Team will also initialize the establishment of system engineering support and the inclusion of training and outreach aspects in its work plan.</w:t>
      </w:r>
    </w:p>
    <w:p w14:paraId="041B4FC6" w14:textId="77777777" w:rsidR="00653450" w:rsidRPr="00345366" w:rsidRDefault="00653450" w:rsidP="00653450"/>
    <w:p w14:paraId="26D01EEC" w14:textId="1DDAA95E" w:rsidR="00330A6B" w:rsidRDefault="00287EB0" w:rsidP="00345366">
      <w:pPr>
        <w:pStyle w:val="Heading2"/>
        <w:numPr>
          <w:ilvl w:val="1"/>
          <w:numId w:val="57"/>
        </w:numPr>
      </w:pPr>
      <w:bookmarkStart w:id="38" w:name="_Toc21715000"/>
      <w:r>
        <w:t>Actions for Atmospheric Composition – Virtual Constellation</w:t>
      </w:r>
      <w:bookmarkEnd w:id="38"/>
    </w:p>
    <w:p w14:paraId="193EFBDC" w14:textId="77777777" w:rsidR="00330A6B" w:rsidRDefault="00287EB0">
      <w:r>
        <w:t xml:space="preserve">Deliverables needed by 2021 to demonstrate that satellites can support the 2023 </w:t>
      </w:r>
      <w:proofErr w:type="spellStart"/>
      <w:r>
        <w:t>stocktake</w:t>
      </w:r>
      <w:proofErr w:type="spellEnd"/>
      <w:r>
        <w:t xml:space="preserve"> (WP-Rec#1)</w:t>
      </w:r>
    </w:p>
    <w:p w14:paraId="2050DC46" w14:textId="1BE25913" w:rsidR="00330A6B" w:rsidRDefault="00345366">
      <w:pPr>
        <w:numPr>
          <w:ilvl w:val="0"/>
          <w:numId w:val="15"/>
        </w:numPr>
        <w:pBdr>
          <w:top w:val="nil"/>
          <w:left w:val="nil"/>
          <w:bottom w:val="nil"/>
          <w:right w:val="nil"/>
          <w:between w:val="nil"/>
        </w:pBdr>
        <w:spacing w:before="120" w:after="0"/>
        <w:rPr>
          <w:color w:val="000000"/>
        </w:rPr>
      </w:pPr>
      <w:r>
        <w:rPr>
          <w:color w:val="000000"/>
        </w:rPr>
        <w:t xml:space="preserve">Catalog </w:t>
      </w:r>
      <w:r w:rsidR="00287EB0">
        <w:rPr>
          <w:color w:val="000000"/>
        </w:rPr>
        <w:t xml:space="preserve">the virtual constellation consisting of the GHG satellite sensors that </w:t>
      </w:r>
      <w:r w:rsidR="00EA692D">
        <w:rPr>
          <w:color w:val="000000"/>
        </w:rPr>
        <w:t xml:space="preserve">will be operating prior to </w:t>
      </w:r>
      <w:r w:rsidR="00287EB0">
        <w:rPr>
          <w:color w:val="000000"/>
        </w:rPr>
        <w:t xml:space="preserve"> 2021</w:t>
      </w:r>
      <w:r>
        <w:rPr>
          <w:color w:val="000000"/>
        </w:rPr>
        <w:t>;</w:t>
      </w:r>
    </w:p>
    <w:p w14:paraId="591F297E" w14:textId="2543DFEE" w:rsidR="00330A6B" w:rsidRDefault="00345366">
      <w:pPr>
        <w:numPr>
          <w:ilvl w:val="0"/>
          <w:numId w:val="15"/>
        </w:numPr>
        <w:pBdr>
          <w:top w:val="nil"/>
          <w:left w:val="nil"/>
          <w:bottom w:val="nil"/>
          <w:right w:val="nil"/>
          <w:between w:val="nil"/>
        </w:pBdr>
        <w:spacing w:after="0"/>
        <w:rPr>
          <w:color w:val="000000"/>
        </w:rPr>
      </w:pPr>
      <w:r>
        <w:rPr>
          <w:color w:val="000000"/>
        </w:rPr>
        <w:t>Work with partner agencies to coordinate the development of a p</w:t>
      </w:r>
      <w:r w:rsidR="00287EB0">
        <w:rPr>
          <w:color w:val="000000"/>
        </w:rPr>
        <w:t xml:space="preserve">rototype </w:t>
      </w:r>
      <w:r>
        <w:rPr>
          <w:color w:val="000000"/>
        </w:rPr>
        <w:t xml:space="preserve">atmospheric </w:t>
      </w:r>
      <w:r w:rsidR="00287EB0">
        <w:rPr>
          <w:color w:val="000000"/>
        </w:rPr>
        <w:t>CO</w:t>
      </w:r>
      <w:r w:rsidR="00287EB0" w:rsidRPr="00345366">
        <w:rPr>
          <w:color w:val="000000"/>
          <w:vertAlign w:val="subscript"/>
        </w:rPr>
        <w:t>2</w:t>
      </w:r>
      <w:r w:rsidR="00287EB0">
        <w:rPr>
          <w:color w:val="000000"/>
        </w:rPr>
        <w:t xml:space="preserve"> and CH</w:t>
      </w:r>
      <w:r w:rsidR="00287EB0" w:rsidRPr="00345366">
        <w:rPr>
          <w:color w:val="000000"/>
          <w:vertAlign w:val="subscript"/>
        </w:rPr>
        <w:t>4</w:t>
      </w:r>
      <w:r w:rsidR="00287EB0">
        <w:rPr>
          <w:color w:val="000000"/>
        </w:rPr>
        <w:t xml:space="preserve"> </w:t>
      </w:r>
      <w:r>
        <w:rPr>
          <w:color w:val="000000"/>
        </w:rPr>
        <w:t xml:space="preserve"> inventory </w:t>
      </w:r>
      <w:r w:rsidR="00287EB0">
        <w:rPr>
          <w:color w:val="000000"/>
        </w:rPr>
        <w:t>product (spanning 2009-2021) from this virtual constellation, with traceable consistency and data quality</w:t>
      </w:r>
      <w:r>
        <w:rPr>
          <w:color w:val="000000"/>
        </w:rPr>
        <w:t>;</w:t>
      </w:r>
      <w:r w:rsidR="003C67AA">
        <w:rPr>
          <w:color w:val="000000"/>
        </w:rPr>
        <w:t xml:space="preserve"> and</w:t>
      </w:r>
    </w:p>
    <w:p w14:paraId="1B87AC3B" w14:textId="6C37FDEC" w:rsidR="00330A6B" w:rsidRDefault="003C67AA">
      <w:pPr>
        <w:numPr>
          <w:ilvl w:val="0"/>
          <w:numId w:val="15"/>
        </w:numPr>
        <w:pBdr>
          <w:top w:val="nil"/>
          <w:left w:val="nil"/>
          <w:bottom w:val="nil"/>
          <w:right w:val="nil"/>
          <w:between w:val="nil"/>
        </w:pBdr>
        <w:spacing w:after="120"/>
        <w:rPr>
          <w:color w:val="000000"/>
        </w:rPr>
      </w:pPr>
      <w:r>
        <w:rPr>
          <w:color w:val="000000"/>
        </w:rPr>
        <w:t>Document</w:t>
      </w:r>
      <w:r w:rsidR="00287EB0">
        <w:rPr>
          <w:color w:val="000000"/>
        </w:rPr>
        <w:t xml:space="preserve"> the quality of </w:t>
      </w:r>
      <w:r>
        <w:rPr>
          <w:color w:val="000000"/>
        </w:rPr>
        <w:t xml:space="preserve">the atmospheric </w:t>
      </w:r>
      <w:r w:rsidRPr="003C67AA">
        <w:rPr>
          <w:color w:val="000000"/>
        </w:rPr>
        <w:t>CO</w:t>
      </w:r>
      <w:r w:rsidRPr="003C67AA">
        <w:rPr>
          <w:color w:val="000000"/>
          <w:vertAlign w:val="subscript"/>
        </w:rPr>
        <w:t>2</w:t>
      </w:r>
      <w:r>
        <w:rPr>
          <w:color w:val="000000"/>
        </w:rPr>
        <w:t xml:space="preserve"> and </w:t>
      </w:r>
      <w:r w:rsidRPr="003C67AA">
        <w:rPr>
          <w:rFonts w:cs="Times New Roman"/>
          <w:color w:val="000000"/>
        </w:rPr>
        <w:t>CH</w:t>
      </w:r>
      <w:r w:rsidRPr="003C67AA">
        <w:rPr>
          <w:rFonts w:cs="Times New Roman"/>
          <w:color w:val="000000"/>
          <w:vertAlign w:val="subscript"/>
        </w:rPr>
        <w:t>4</w:t>
      </w:r>
      <w:r>
        <w:rPr>
          <w:color w:val="000000"/>
        </w:rPr>
        <w:t xml:space="preserve"> </w:t>
      </w:r>
      <w:r w:rsidR="00287EB0">
        <w:rPr>
          <w:color w:val="000000"/>
        </w:rPr>
        <w:t>flux estimates derived from the prototype product on spatial and temporal scales</w:t>
      </w:r>
      <w:r>
        <w:rPr>
          <w:color w:val="000000"/>
        </w:rPr>
        <w:t xml:space="preserve"> spanning large urban areas to continental scales and at monthly to annual intervals.</w:t>
      </w:r>
    </w:p>
    <w:p w14:paraId="3EE704A9" w14:textId="77777777" w:rsidR="00330A6B" w:rsidRDefault="00287EB0">
      <w:r>
        <w:t xml:space="preserve">Deliverables needed by ~2021 to prepare a future purpose-built, operational constellation to support future </w:t>
      </w:r>
      <w:proofErr w:type="spellStart"/>
      <w:r>
        <w:t>stocktakes</w:t>
      </w:r>
      <w:proofErr w:type="spellEnd"/>
      <w:r>
        <w:t xml:space="preserve"> (WP-Rec#2)</w:t>
      </w:r>
    </w:p>
    <w:p w14:paraId="3FAAAE32" w14:textId="3B152D03" w:rsidR="00330A6B" w:rsidRDefault="00345366">
      <w:pPr>
        <w:numPr>
          <w:ilvl w:val="0"/>
          <w:numId w:val="17"/>
        </w:numPr>
        <w:pBdr>
          <w:top w:val="nil"/>
          <w:left w:val="nil"/>
          <w:bottom w:val="nil"/>
          <w:right w:val="nil"/>
          <w:between w:val="nil"/>
        </w:pBdr>
        <w:spacing w:before="120" w:after="0"/>
        <w:rPr>
          <w:color w:val="000000"/>
        </w:rPr>
      </w:pPr>
      <w:r>
        <w:rPr>
          <w:color w:val="000000"/>
        </w:rPr>
        <w:t>Compile o</w:t>
      </w:r>
      <w:r w:rsidR="00287EB0">
        <w:rPr>
          <w:color w:val="000000"/>
        </w:rPr>
        <w:t>bservational requirements for a future GHG constellation</w:t>
      </w:r>
      <w:r>
        <w:rPr>
          <w:color w:val="000000"/>
        </w:rPr>
        <w:t>;</w:t>
      </w:r>
    </w:p>
    <w:p w14:paraId="11E99619" w14:textId="366CA3AF" w:rsidR="00330A6B" w:rsidRDefault="003C67AA">
      <w:pPr>
        <w:numPr>
          <w:ilvl w:val="0"/>
          <w:numId w:val="17"/>
        </w:numPr>
        <w:pBdr>
          <w:top w:val="nil"/>
          <w:left w:val="nil"/>
          <w:bottom w:val="nil"/>
          <w:right w:val="nil"/>
          <w:between w:val="nil"/>
        </w:pBdr>
        <w:spacing w:after="0"/>
        <w:rPr>
          <w:color w:val="000000"/>
        </w:rPr>
      </w:pPr>
      <w:r>
        <w:rPr>
          <w:color w:val="000000"/>
        </w:rPr>
        <w:t>Work with CEOS and CGMS agencies to coordinate research and development</w:t>
      </w:r>
      <w:r w:rsidR="00287EB0">
        <w:rPr>
          <w:color w:val="000000"/>
        </w:rPr>
        <w:t xml:space="preserve"> plan</w:t>
      </w:r>
      <w:r>
        <w:rPr>
          <w:color w:val="000000"/>
        </w:rPr>
        <w:t>s and activities</w:t>
      </w:r>
      <w:r w:rsidR="00287EB0">
        <w:rPr>
          <w:color w:val="000000"/>
        </w:rPr>
        <w:t xml:space="preserve"> for GHG retrieval and flux estimation schemes</w:t>
      </w:r>
      <w:r w:rsidR="00D52B7E">
        <w:rPr>
          <w:color w:val="000000"/>
        </w:rPr>
        <w:t xml:space="preserve"> (Rec#4)</w:t>
      </w:r>
      <w:r>
        <w:rPr>
          <w:color w:val="000000"/>
        </w:rPr>
        <w:t>; and</w:t>
      </w:r>
    </w:p>
    <w:p w14:paraId="49300011" w14:textId="66C6B04F" w:rsidR="00330A6B" w:rsidRDefault="003C67AA">
      <w:pPr>
        <w:numPr>
          <w:ilvl w:val="0"/>
          <w:numId w:val="17"/>
        </w:numPr>
        <w:pBdr>
          <w:top w:val="nil"/>
          <w:left w:val="nil"/>
          <w:bottom w:val="nil"/>
          <w:right w:val="nil"/>
          <w:between w:val="nil"/>
        </w:pBdr>
        <w:spacing w:after="120"/>
        <w:rPr>
          <w:color w:val="000000"/>
        </w:rPr>
      </w:pPr>
      <w:r>
        <w:rPr>
          <w:color w:val="000000"/>
        </w:rPr>
        <w:t xml:space="preserve">Develop a </w:t>
      </w:r>
      <w:r w:rsidR="00287EB0">
        <w:rPr>
          <w:color w:val="000000"/>
        </w:rPr>
        <w:t xml:space="preserve">plan </w:t>
      </w:r>
      <w:r w:rsidR="00EA692D">
        <w:rPr>
          <w:color w:val="000000"/>
        </w:rPr>
        <w:t>to</w:t>
      </w:r>
      <w:r w:rsidR="00287EB0">
        <w:rPr>
          <w:color w:val="000000"/>
        </w:rPr>
        <w:t xml:space="preserve"> cross-calibrat</w:t>
      </w:r>
      <w:r w:rsidR="00EA692D">
        <w:rPr>
          <w:color w:val="000000"/>
        </w:rPr>
        <w:t>e and cross-validate</w:t>
      </w:r>
      <w:r w:rsidR="00287EB0">
        <w:rPr>
          <w:color w:val="000000"/>
        </w:rPr>
        <w:t xml:space="preserve"> GHG products aiming at traceable consistency and data quality</w:t>
      </w:r>
      <w:r>
        <w:rPr>
          <w:color w:val="000000"/>
        </w:rPr>
        <w:t xml:space="preserve"> across the existing and planned GHG constellation</w:t>
      </w:r>
      <w:r w:rsidR="003067F0">
        <w:rPr>
          <w:color w:val="000000"/>
        </w:rPr>
        <w:t xml:space="preserve"> in coop</w:t>
      </w:r>
      <w:r w:rsidR="00EA692D">
        <w:rPr>
          <w:color w:val="000000"/>
        </w:rPr>
        <w:t>e</w:t>
      </w:r>
      <w:r w:rsidR="003067F0">
        <w:rPr>
          <w:color w:val="000000"/>
        </w:rPr>
        <w:t>ration with CEOS WGCV and GSICS</w:t>
      </w:r>
      <w:r>
        <w:rPr>
          <w:color w:val="000000"/>
        </w:rPr>
        <w:t>.</w:t>
      </w:r>
    </w:p>
    <w:p w14:paraId="517F74DA" w14:textId="77777777" w:rsidR="003C67AA" w:rsidRDefault="003C67AA" w:rsidP="003C67AA">
      <w:pPr>
        <w:pBdr>
          <w:top w:val="nil"/>
          <w:left w:val="nil"/>
          <w:bottom w:val="nil"/>
          <w:right w:val="nil"/>
          <w:between w:val="nil"/>
        </w:pBdr>
        <w:spacing w:after="120"/>
        <w:ind w:left="720"/>
        <w:rPr>
          <w:color w:val="000000"/>
        </w:rPr>
      </w:pPr>
    </w:p>
    <w:p w14:paraId="21B29F85" w14:textId="77777777" w:rsidR="00330A6B" w:rsidRDefault="00287EB0" w:rsidP="003C67AA">
      <w:pPr>
        <w:pStyle w:val="Heading2"/>
        <w:numPr>
          <w:ilvl w:val="1"/>
          <w:numId w:val="57"/>
        </w:numPr>
      </w:pPr>
      <w:bookmarkStart w:id="39" w:name="_Toc21715001"/>
      <w:r>
        <w:t>Actions for WGCV/ACSG and GSICS</w:t>
      </w:r>
      <w:bookmarkEnd w:id="39"/>
    </w:p>
    <w:p w14:paraId="5C9E805D" w14:textId="4D95A7DF" w:rsidR="00330A6B" w:rsidRDefault="00C42653">
      <w:r>
        <w:t xml:space="preserve">Ongoing efforts by </w:t>
      </w:r>
      <w:proofErr w:type="spellStart"/>
      <w:r>
        <w:t>theGSICS</w:t>
      </w:r>
      <w:proofErr w:type="spellEnd"/>
      <w:r>
        <w:t xml:space="preserve"> </w:t>
      </w:r>
      <w:r w:rsidR="00EA692D" w:rsidRPr="00EA692D">
        <w:t>Reflective Solar Spectrometers Subgroup (UVSG</w:t>
      </w:r>
      <w:proofErr w:type="gramStart"/>
      <w:r w:rsidR="00EA692D" w:rsidRPr="00EA692D">
        <w:t>)</w:t>
      </w:r>
      <w:r w:rsidR="00287EB0">
        <w:t>will</w:t>
      </w:r>
      <w:proofErr w:type="gramEnd"/>
      <w:r w:rsidR="00287EB0">
        <w:t xml:space="preserve"> be complemented </w:t>
      </w:r>
      <w:r>
        <w:t xml:space="preserve">by </w:t>
      </w:r>
      <w:r w:rsidR="00287EB0">
        <w:t>an enhanced effort in WGCV/ACSG</w:t>
      </w:r>
      <w:r>
        <w:t xml:space="preserve"> to </w:t>
      </w:r>
      <w:r w:rsidR="00287EB0">
        <w:t xml:space="preserve">address the following </w:t>
      </w:r>
      <w:r>
        <w:t xml:space="preserve">short-term </w:t>
      </w:r>
      <w:r w:rsidR="00287EB0">
        <w:t>activities:</w:t>
      </w:r>
    </w:p>
    <w:p w14:paraId="47AF61D3" w14:textId="6C0B16CC" w:rsidR="00330A6B" w:rsidRDefault="00287EB0">
      <w:pPr>
        <w:numPr>
          <w:ilvl w:val="0"/>
          <w:numId w:val="1"/>
        </w:numPr>
        <w:pBdr>
          <w:top w:val="nil"/>
          <w:left w:val="nil"/>
          <w:bottom w:val="nil"/>
          <w:right w:val="nil"/>
          <w:between w:val="nil"/>
        </w:pBdr>
        <w:spacing w:before="120" w:after="0"/>
        <w:rPr>
          <w:color w:val="000000"/>
        </w:rPr>
      </w:pPr>
      <w:r>
        <w:rPr>
          <w:color w:val="000000"/>
        </w:rPr>
        <w:t>Address existing CEOS Action by Q1 2020 on “Greenhouse gas reference standards for interoperability</w:t>
      </w:r>
      <w:r w:rsidR="0096770B">
        <w:rPr>
          <w:color w:val="000000"/>
        </w:rPr>
        <w:t>”:</w:t>
      </w:r>
      <w:r>
        <w:rPr>
          <w:color w:val="000000"/>
        </w:rPr>
        <w:t xml:space="preserve"> Develop </w:t>
      </w:r>
      <w:r w:rsidR="0096770B">
        <w:rPr>
          <w:color w:val="000000"/>
        </w:rPr>
        <w:t xml:space="preserve">a </w:t>
      </w:r>
      <w:r>
        <w:rPr>
          <w:color w:val="000000"/>
        </w:rPr>
        <w:t xml:space="preserve">list of reference standards for </w:t>
      </w:r>
      <w:r w:rsidR="003C67AA" w:rsidRPr="003C67AA">
        <w:rPr>
          <w:color w:val="000000"/>
        </w:rPr>
        <w:t>CO</w:t>
      </w:r>
      <w:r w:rsidR="003C67AA" w:rsidRPr="003C67AA">
        <w:rPr>
          <w:color w:val="000000"/>
          <w:vertAlign w:val="subscript"/>
        </w:rPr>
        <w:t>2</w:t>
      </w:r>
      <w:r>
        <w:rPr>
          <w:color w:val="000000"/>
        </w:rPr>
        <w:t xml:space="preserve"> and </w:t>
      </w:r>
      <w:r w:rsidR="003C67AA" w:rsidRPr="003C67AA">
        <w:rPr>
          <w:rFonts w:cs="Times New Roman"/>
          <w:color w:val="000000"/>
        </w:rPr>
        <w:t>CH</w:t>
      </w:r>
      <w:r w:rsidR="003C67AA" w:rsidRPr="003C67AA">
        <w:rPr>
          <w:rFonts w:cs="Times New Roman"/>
          <w:color w:val="000000"/>
          <w:vertAlign w:val="subscript"/>
        </w:rPr>
        <w:t>4</w:t>
      </w:r>
      <w:r>
        <w:rPr>
          <w:color w:val="000000"/>
        </w:rPr>
        <w:t xml:space="preserve"> products that are suitable for use in inter-comparison of multiple missions.</w:t>
      </w:r>
    </w:p>
    <w:p w14:paraId="2E48C707" w14:textId="77777777" w:rsidR="00330A6B" w:rsidRDefault="00287EB0">
      <w:pPr>
        <w:numPr>
          <w:ilvl w:val="0"/>
          <w:numId w:val="1"/>
        </w:numPr>
        <w:pBdr>
          <w:top w:val="nil"/>
          <w:left w:val="nil"/>
          <w:bottom w:val="nil"/>
          <w:right w:val="nil"/>
          <w:between w:val="nil"/>
        </w:pBdr>
        <w:spacing w:after="120"/>
        <w:rPr>
          <w:color w:val="000000"/>
        </w:rPr>
      </w:pPr>
      <w:r>
        <w:rPr>
          <w:color w:val="000000"/>
        </w:rPr>
        <w:t>Identify the current shortcomings/gaps/sustainability in GHG calibration and validation</w:t>
      </w:r>
      <w:r w:rsidR="003C67AA">
        <w:rPr>
          <w:color w:val="000000"/>
        </w:rPr>
        <w:t xml:space="preserve"> capabilities</w:t>
      </w:r>
      <w:r>
        <w:rPr>
          <w:color w:val="000000"/>
        </w:rPr>
        <w:t>, and formulate recommendations on the medium- to long-term way forward, that is with a specific focus on GHG Fiducial Reference Measurement (FRM).</w:t>
      </w:r>
    </w:p>
    <w:p w14:paraId="3908162F" w14:textId="2BD811B5" w:rsidR="00330A6B" w:rsidRDefault="00C42653">
      <w:r>
        <w:t>O</w:t>
      </w:r>
      <w:r w:rsidR="00287EB0">
        <w:t xml:space="preserve">n the medium to long-term, </w:t>
      </w:r>
    </w:p>
    <w:p w14:paraId="0647DD39" w14:textId="77777777" w:rsidR="00330A6B" w:rsidRDefault="00287EB0">
      <w:pPr>
        <w:numPr>
          <w:ilvl w:val="0"/>
          <w:numId w:val="2"/>
        </w:numPr>
        <w:pBdr>
          <w:top w:val="nil"/>
          <w:left w:val="nil"/>
          <w:bottom w:val="nil"/>
          <w:right w:val="nil"/>
          <w:between w:val="nil"/>
        </w:pBdr>
        <w:spacing w:before="120" w:after="0"/>
        <w:rPr>
          <w:color w:val="000000"/>
        </w:rPr>
      </w:pPr>
      <w:r>
        <w:rPr>
          <w:color w:val="000000"/>
        </w:rPr>
        <w:t>Address improvements/gaps in the inter-calibration of sensors (cooperation with GSICS) and the level-2 validation infrastructures (ground-based algorithm inter-comparisons and geographical/geophysical gaps for FRM).</w:t>
      </w:r>
    </w:p>
    <w:p w14:paraId="0DFE8683" w14:textId="77777777" w:rsidR="00330A6B" w:rsidRDefault="00287EB0">
      <w:pPr>
        <w:numPr>
          <w:ilvl w:val="0"/>
          <w:numId w:val="2"/>
        </w:numPr>
        <w:pBdr>
          <w:top w:val="nil"/>
          <w:left w:val="nil"/>
          <w:bottom w:val="nil"/>
          <w:right w:val="nil"/>
          <w:between w:val="nil"/>
        </w:pBdr>
        <w:spacing w:after="0"/>
        <w:rPr>
          <w:color w:val="000000"/>
        </w:rPr>
      </w:pPr>
      <w:r>
        <w:rPr>
          <w:color w:val="000000"/>
        </w:rPr>
        <w:t>Identify long-term validation needs (at horizon 2025-on) and potential process study needs.</w:t>
      </w:r>
    </w:p>
    <w:p w14:paraId="787B08E8" w14:textId="77777777" w:rsidR="00330A6B" w:rsidRDefault="00287EB0">
      <w:pPr>
        <w:numPr>
          <w:ilvl w:val="0"/>
          <w:numId w:val="2"/>
        </w:numPr>
        <w:pBdr>
          <w:top w:val="nil"/>
          <w:left w:val="nil"/>
          <w:bottom w:val="nil"/>
          <w:right w:val="nil"/>
          <w:between w:val="nil"/>
        </w:pBdr>
        <w:spacing w:after="120"/>
        <w:rPr>
          <w:color w:val="000000"/>
        </w:rPr>
      </w:pPr>
      <w:r>
        <w:rPr>
          <w:color w:val="000000"/>
        </w:rPr>
        <w:t>Work towards an operational reporting on the quality of space-borne GHG measurements and the underlying calibration and validation infrastructure.</w:t>
      </w:r>
    </w:p>
    <w:p w14:paraId="2311AAC3" w14:textId="77777777" w:rsidR="00330A6B" w:rsidRDefault="00330A6B"/>
    <w:p w14:paraId="77D0C5B1" w14:textId="77777777" w:rsidR="003C67AA" w:rsidRDefault="003C67AA" w:rsidP="003C67AA">
      <w:pPr>
        <w:pStyle w:val="Heading1"/>
        <w:numPr>
          <w:ilvl w:val="0"/>
          <w:numId w:val="57"/>
        </w:numPr>
      </w:pPr>
      <w:bookmarkStart w:id="40" w:name="_Toc21715002"/>
      <w:r>
        <w:t>Expected Outcomes</w:t>
      </w:r>
      <w:bookmarkEnd w:id="40"/>
    </w:p>
    <w:p w14:paraId="1F3D02C0" w14:textId="77777777" w:rsidR="00885D58" w:rsidRDefault="002B31F6" w:rsidP="00A23959">
      <w:r>
        <w:t xml:space="preserve">The expected outcomes are related to the functional delivery of the systems, the prototype, </w:t>
      </w:r>
      <w:proofErr w:type="gramStart"/>
      <w:r>
        <w:t>an</w:t>
      </w:r>
      <w:proofErr w:type="gramEnd"/>
      <w:r>
        <w:t xml:space="preserve"> first version of an operational, and an advanced operational systems. Having in mind that CEOS and CGMS </w:t>
      </w:r>
      <w:proofErr w:type="gramStart"/>
      <w:r>
        <w:t>is based</w:t>
      </w:r>
      <w:proofErr w:type="gramEnd"/>
      <w:r>
        <w:t xml:space="preserve"> on best effort and rely on the resources of its </w:t>
      </w:r>
      <w:r w:rsidR="00FB65E2">
        <w:t>members;</w:t>
      </w:r>
      <w:r>
        <w:t xml:space="preserve"> we recall that </w:t>
      </w:r>
      <w:r w:rsidR="00FB65E2">
        <w:t xml:space="preserve">the </w:t>
      </w:r>
      <w:r>
        <w:t>physical</w:t>
      </w:r>
      <w:r w:rsidR="00FB65E2">
        <w:t xml:space="preserve"> implementation of a</w:t>
      </w:r>
      <w:r>
        <w:t xml:space="preserve"> system </w:t>
      </w:r>
      <w:r w:rsidR="00FB65E2">
        <w:t>is an effort</w:t>
      </w:r>
      <w:r>
        <w:t xml:space="preserve"> by one member or multiple members. </w:t>
      </w:r>
      <w:proofErr w:type="gramStart"/>
      <w:r>
        <w:t xml:space="preserve">Because of the importance of the added value of satellite data products and the layout of such an integrated system for the derivation of </w:t>
      </w:r>
      <w:r w:rsidR="00287065">
        <w:t>GHG emissions for the Global stock-take</w:t>
      </w:r>
      <w:r>
        <w:t xml:space="preserve">, </w:t>
      </w:r>
      <w:r w:rsidR="00287065">
        <w:t>it is fundamental that the user or stakeholder which shall be later rely on such a system, won’t be worried by eventually different outputs from different system implementations because of system-immanent biases, under- or over-estimations.</w:t>
      </w:r>
      <w:proofErr w:type="gramEnd"/>
      <w:r w:rsidR="00287065">
        <w:t xml:space="preserve"> For thus, it is an absolute need that</w:t>
      </w:r>
      <w:r w:rsidR="00FB65E2">
        <w:t xml:space="preserve"> </w:t>
      </w:r>
      <w:r w:rsidR="00FB65E2" w:rsidRPr="00A23959">
        <w:rPr>
          <w:i/>
          <w:u w:val="single"/>
        </w:rPr>
        <w:t>best practices</w:t>
      </w:r>
      <w:r w:rsidR="00FB65E2">
        <w:t xml:space="preserve"> are provided as output for those parts of the system which can be served by CEOS or CGMS agencies (or its partners). In addition, in the context of CEOS and CGMS several parts of the system can be studied</w:t>
      </w:r>
      <w:r w:rsidR="00885D58">
        <w:t xml:space="preserve"> as a research but also as </w:t>
      </w:r>
      <w:proofErr w:type="spellStart"/>
      <w:proofErr w:type="gramStart"/>
      <w:r w:rsidR="00885D58">
        <w:t>a</w:t>
      </w:r>
      <w:proofErr w:type="spellEnd"/>
      <w:proofErr w:type="gramEnd"/>
      <w:r w:rsidR="00885D58">
        <w:t xml:space="preserve"> </w:t>
      </w:r>
      <w:r w:rsidR="00FB65E2">
        <w:t>operational endeavor.</w:t>
      </w:r>
    </w:p>
    <w:p w14:paraId="029F4583" w14:textId="77777777" w:rsidR="00885D58" w:rsidRDefault="00885D58" w:rsidP="00A23959">
      <w:r>
        <w:t>From that, the expected outcome shall be for the prototype system</w:t>
      </w:r>
      <w:r w:rsidR="00353006">
        <w:t xml:space="preserve"> in 2021/2023</w:t>
      </w:r>
    </w:p>
    <w:p w14:paraId="333A6A30" w14:textId="77777777" w:rsidR="003067F0" w:rsidRDefault="003067F0" w:rsidP="00A23959">
      <w:pPr>
        <w:pStyle w:val="ListParagraph"/>
        <w:numPr>
          <w:ilvl w:val="0"/>
          <w:numId w:val="66"/>
        </w:numPr>
      </w:pPr>
      <w:r>
        <w:t>A maintained and updated catalogue of GHG satellite systems which may contribute to a virtual constellation in 2021/2023 timeframe including a future system estimate</w:t>
      </w:r>
      <w:r w:rsidR="00E773FE">
        <w:t xml:space="preserve"> (CEOS AC-VC)</w:t>
      </w:r>
      <w:r>
        <w:t>;</w:t>
      </w:r>
    </w:p>
    <w:p w14:paraId="630884BC" w14:textId="77777777" w:rsidR="003067F0" w:rsidRDefault="00885D58" w:rsidP="00A23959">
      <w:pPr>
        <w:pStyle w:val="ListParagraph"/>
        <w:numPr>
          <w:ilvl w:val="0"/>
          <w:numId w:val="66"/>
        </w:numPr>
      </w:pPr>
      <w:r>
        <w:t>A most complete listing of c</w:t>
      </w:r>
      <w:r w:rsidR="00287065">
        <w:t>onsistent and harmonized data sets from satellite observations</w:t>
      </w:r>
      <w:r w:rsidR="003067F0">
        <w:t xml:space="preserve"> existing at date (2021/2023)</w:t>
      </w:r>
      <w:r>
        <w:t xml:space="preserve"> which can serve</w:t>
      </w:r>
      <w:r w:rsidR="00287065">
        <w:t xml:space="preserve"> as input with given uncertainties and documentation about the</w:t>
      </w:r>
      <w:r w:rsidR="003067F0">
        <w:t>ir impact on the flux estimates with traceable consistency and data quality</w:t>
      </w:r>
      <w:r w:rsidR="00E773FE">
        <w:t xml:space="preserve"> (CEOS AC-VC)</w:t>
      </w:r>
      <w:r w:rsidR="003067F0">
        <w:t>;</w:t>
      </w:r>
    </w:p>
    <w:p w14:paraId="58D91436" w14:textId="77777777" w:rsidR="003067F0" w:rsidRDefault="003067F0" w:rsidP="00A23959">
      <w:pPr>
        <w:pStyle w:val="ListParagraph"/>
        <w:numPr>
          <w:ilvl w:val="0"/>
          <w:numId w:val="66"/>
        </w:numPr>
      </w:pPr>
      <w:r>
        <w:t>An observation requirements repository based on the 2021/2023 GHG virtual constellation maintained for future constellations</w:t>
      </w:r>
      <w:r w:rsidR="00E773FE">
        <w:t xml:space="preserve"> (CEOS-AC-VC)</w:t>
      </w:r>
      <w:r>
        <w:t>;</w:t>
      </w:r>
    </w:p>
    <w:p w14:paraId="1AE93562" w14:textId="77777777" w:rsidR="00287065" w:rsidRDefault="00FB65E2" w:rsidP="00A23959">
      <w:pPr>
        <w:pStyle w:val="ListParagraph"/>
        <w:numPr>
          <w:ilvl w:val="0"/>
          <w:numId w:val="66"/>
        </w:numPr>
      </w:pPr>
      <w:r>
        <w:t>Q</w:t>
      </w:r>
      <w:r w:rsidR="00287065">
        <w:t>uality-monito</w:t>
      </w:r>
      <w:r>
        <w:t>ring</w:t>
      </w:r>
      <w:r w:rsidR="00E773FE">
        <w:t xml:space="preserve"> means</w:t>
      </w:r>
      <w:r w:rsidR="00287065">
        <w:t xml:space="preserve"> and continuously </w:t>
      </w:r>
      <w:r>
        <w:t>validation</w:t>
      </w:r>
      <w:r w:rsidR="00287065">
        <w:t xml:space="preserve"> by well-characterized means</w:t>
      </w:r>
      <w:r>
        <w:t>, especially in operational modes</w:t>
      </w:r>
      <w:r w:rsidR="00E773FE">
        <w:t xml:space="preserve"> (see cross-calibration and validation plan for inclusion)</w:t>
      </w:r>
      <w:r w:rsidR="00287065">
        <w:t>;</w:t>
      </w:r>
    </w:p>
    <w:p w14:paraId="7FB1BB4D" w14:textId="77777777" w:rsidR="00353006" w:rsidRDefault="00353006" w:rsidP="00A23959">
      <w:pPr>
        <w:pStyle w:val="ListParagraph"/>
        <w:numPr>
          <w:ilvl w:val="0"/>
          <w:numId w:val="66"/>
        </w:numPr>
      </w:pPr>
      <w:r>
        <w:t>Inventory of reference standards suitable for inter-comparison of GHG data products from multiple missions</w:t>
      </w:r>
      <w:r w:rsidR="00E773FE">
        <w:t xml:space="preserve"> (CEOS WGCV, GSICS)</w:t>
      </w:r>
      <w:r>
        <w:t>;</w:t>
      </w:r>
    </w:p>
    <w:p w14:paraId="606B7CD8" w14:textId="77777777" w:rsidR="00353006" w:rsidRDefault="00353006" w:rsidP="00A23959">
      <w:pPr>
        <w:pStyle w:val="ListParagraph"/>
        <w:numPr>
          <w:ilvl w:val="0"/>
          <w:numId w:val="66"/>
        </w:numPr>
      </w:pPr>
      <w:r>
        <w:t>Report about GHG calibration and validation capabilities including shortcoming, gaps, sustainability and opportunities with mid- and long-term recommendations. This report shall also include the improvement/gaps of the inter-calibration of GHG sensors, the Level 2 validation infrastructure, and the identification of long-term needs. A first draft of an operational reporting about data quality shall be included (CEOS WGCV, GSICS);</w:t>
      </w:r>
    </w:p>
    <w:p w14:paraId="16A15EAF" w14:textId="77777777" w:rsidR="00E773FE" w:rsidRDefault="00E773FE" w:rsidP="00A23959">
      <w:pPr>
        <w:pStyle w:val="ListParagraph"/>
        <w:numPr>
          <w:ilvl w:val="0"/>
          <w:numId w:val="66"/>
        </w:numPr>
      </w:pPr>
      <w:r>
        <w:t>Draft</w:t>
      </w:r>
      <w:r w:rsidR="00353006">
        <w:t xml:space="preserve"> of a cross-calibration and validation plan of GHG products for a virtual constellation (CEOS AC-VC, CEOS WGCV, GSICS);</w:t>
      </w:r>
    </w:p>
    <w:p w14:paraId="47BA2ED9" w14:textId="77777777" w:rsidR="00E773FE" w:rsidRDefault="00E773FE" w:rsidP="00A23959">
      <w:pPr>
        <w:pStyle w:val="ListParagraph"/>
        <w:numPr>
          <w:ilvl w:val="0"/>
          <w:numId w:val="66"/>
        </w:numPr>
      </w:pPr>
      <w:r>
        <w:t>Progress report on the GHG task team developments (2021, task team leads)</w:t>
      </w:r>
    </w:p>
    <w:p w14:paraId="4CA41B6A" w14:textId="77777777" w:rsidR="001F68AC" w:rsidRDefault="001F68AC" w:rsidP="00A23959">
      <w:pPr>
        <w:pStyle w:val="ListParagraph"/>
        <w:numPr>
          <w:ilvl w:val="0"/>
          <w:numId w:val="66"/>
        </w:numPr>
      </w:pPr>
      <w:r>
        <w:t>Risk register including mitigation means (Task team)</w:t>
      </w:r>
    </w:p>
    <w:p w14:paraId="4EBC9084" w14:textId="77777777" w:rsidR="00E773FE" w:rsidRDefault="00E773FE" w:rsidP="00A23959">
      <w:r>
        <w:t xml:space="preserve">The expected outcomes </w:t>
      </w:r>
      <w:proofErr w:type="gramStart"/>
      <w:r>
        <w:t>shall be augmented</w:t>
      </w:r>
      <w:proofErr w:type="gramEnd"/>
      <w:r>
        <w:t xml:space="preserve"> by a report about the usage of satellite observation based flux estimates for the derivation of GHG emission estimates in cooperation with various inventory stakeholders (Task team in cooperation with CEOS AC-VC).</w:t>
      </w:r>
    </w:p>
    <w:p w14:paraId="48203535" w14:textId="520C44FB" w:rsidR="006F33B6" w:rsidRDefault="00E773FE" w:rsidP="00A23959">
      <w:r>
        <w:t xml:space="preserve">The output for the operational system (2025) may maintain and sustain the above documents and reports in terms of amendments and consolidation. In addition, the operational system approach does need </w:t>
      </w:r>
      <w:r w:rsidR="001F68AC">
        <w:t xml:space="preserve">an appropriate system engineering approach which describes not only the functional part of the system but also the product tree, the data flow, and interfaces based on consolidated requirements. </w:t>
      </w:r>
      <w:r w:rsidR="001F68AC">
        <w:lastRenderedPageBreak/>
        <w:t xml:space="preserve">A more detailed description about those parts </w:t>
      </w:r>
      <w:proofErr w:type="gramStart"/>
      <w:r w:rsidR="001F68AC">
        <w:t>will be presented</w:t>
      </w:r>
      <w:proofErr w:type="gramEnd"/>
      <w:r w:rsidR="001F68AC">
        <w:t xml:space="preserve"> together with the detailed work plan. Most emphasis </w:t>
      </w:r>
      <w:proofErr w:type="gramStart"/>
      <w:r w:rsidR="001F68AC">
        <w:t>will be taken</w:t>
      </w:r>
      <w:proofErr w:type="gramEnd"/>
      <w:r w:rsidR="001F68AC">
        <w:t xml:space="preserve"> to the sustained definition of interfaces between the different functional sub-systems and formats used therein allowing the comparability of different implementation instances.</w:t>
      </w:r>
    </w:p>
    <w:p w14:paraId="16A61A55" w14:textId="1D0A025D" w:rsidR="006F33B6" w:rsidRDefault="006F33B6" w:rsidP="00C42653">
      <w:pPr>
        <w:pStyle w:val="Heading1"/>
        <w:numPr>
          <w:ilvl w:val="0"/>
          <w:numId w:val="57"/>
        </w:numPr>
      </w:pPr>
      <w:bookmarkStart w:id="41" w:name="_Toc21715003"/>
      <w:r>
        <w:t>Resource Implications</w:t>
      </w:r>
      <w:bookmarkEnd w:id="41"/>
    </w:p>
    <w:p w14:paraId="7386E7B1" w14:textId="795B755D" w:rsidR="00BC6CEE" w:rsidRDefault="00BC6CEE" w:rsidP="00C42653">
      <w:r>
        <w:rPr>
          <w:bCs/>
          <w:lang w:val="en-GB"/>
        </w:rPr>
        <w:t xml:space="preserve">A preliminary estimate of the resource needs </w:t>
      </w:r>
      <w:proofErr w:type="gramStart"/>
      <w:r>
        <w:rPr>
          <w:bCs/>
          <w:lang w:val="en-GB"/>
        </w:rPr>
        <w:t>was compiled</w:t>
      </w:r>
      <w:proofErr w:type="gramEnd"/>
      <w:r>
        <w:rPr>
          <w:bCs/>
          <w:lang w:val="en-GB"/>
        </w:rPr>
        <w:t xml:space="preserve"> based on the scope of activities based on the scope of the effort described above and earlier experience with these types of coordination and product delivery efforts.  We anticipate that these resource estimates will evolve somewhat as the detailed task plan is developed and as we gain experience from the first rounds of product prototyping. </w:t>
      </w:r>
      <w:r w:rsidRPr="00BC6CEE">
        <w:rPr>
          <w:bCs/>
          <w:lang w:val="en-GB"/>
        </w:rPr>
        <w:t xml:space="preserve">This should provide CEOS and CGMS Agencies with an overview of both the types and </w:t>
      </w:r>
      <w:r w:rsidRPr="0074749B">
        <w:t xml:space="preserve">amounts of contributions that are anticipated so that their individual agencies can assess where they feel best suited to </w:t>
      </w:r>
      <w:proofErr w:type="gramStart"/>
      <w:r w:rsidRPr="0074749B">
        <w:t>make contributions</w:t>
      </w:r>
      <w:proofErr w:type="gramEnd"/>
      <w:r w:rsidRPr="0074749B">
        <w:t>.</w:t>
      </w:r>
    </w:p>
    <w:p w14:paraId="44B2685F" w14:textId="1CFD64B3" w:rsidR="0074749B" w:rsidRPr="0074749B" w:rsidRDefault="0074749B" w:rsidP="00C42653">
      <w:r>
        <w:t xml:space="preserve">We anticipate that contributions will be needed both from </w:t>
      </w:r>
      <w:r>
        <w:t xml:space="preserve">the </w:t>
      </w:r>
      <w:r>
        <w:t xml:space="preserve">agencies that are planning to launch satellites contributing the envisaged GHG monitoring constellation, as well as those that plan to contribute to other aspects of the overall system architecture. This includes agencies with competences/interests in the necessary </w:t>
      </w:r>
      <w:proofErr w:type="spellStart"/>
      <w:r>
        <w:t>cal</w:t>
      </w:r>
      <w:proofErr w:type="spellEnd"/>
      <w:r>
        <w:t>/</w:t>
      </w:r>
      <w:proofErr w:type="spellStart"/>
      <w:r>
        <w:t>val</w:t>
      </w:r>
      <w:proofErr w:type="spellEnd"/>
      <w:r>
        <w:t xml:space="preserve"> infrastructure, ancillary in-situ observations, modelling capability, interface to the user/inventory communities and application development, as well as agencies with the system engineering experience to ensure the longer-tern transition to a fully integrated end-to-end global data-assimilation framework. Within CEOS and CGMS, there are many additional agencies with these complimentary competences and it </w:t>
      </w:r>
      <w:proofErr w:type="gramStart"/>
      <w:r>
        <w:t>is hoped</w:t>
      </w:r>
      <w:proofErr w:type="gramEnd"/>
      <w:r>
        <w:t xml:space="preserve"> that they will contribute to this endeavor.</w:t>
      </w:r>
    </w:p>
    <w:p w14:paraId="29EE9946" w14:textId="37CDF6EE" w:rsidR="00C42653" w:rsidRPr="00FF2621" w:rsidRDefault="00C42653" w:rsidP="00C42653">
      <w:r w:rsidRPr="0074749B">
        <w:t xml:space="preserve">Three broad categories of resources </w:t>
      </w:r>
      <w:proofErr w:type="gramStart"/>
      <w:r w:rsidRPr="0074749B">
        <w:t>are envisaged and requested for consideration by Agencies</w:t>
      </w:r>
      <w:proofErr w:type="gramEnd"/>
      <w:r w:rsidRPr="0074749B">
        <w:t>:</w:t>
      </w:r>
    </w:p>
    <w:p w14:paraId="417AD21E" w14:textId="2E5AB74E" w:rsidR="00EF630C" w:rsidRPr="00C42653" w:rsidRDefault="00FF2621" w:rsidP="006669FD">
      <w:pPr>
        <w:numPr>
          <w:ilvl w:val="0"/>
          <w:numId w:val="70"/>
        </w:numPr>
        <w:tabs>
          <w:tab w:val="clear" w:pos="720"/>
          <w:tab w:val="num" w:pos="360"/>
        </w:tabs>
        <w:ind w:left="360"/>
      </w:pPr>
      <w:r>
        <w:rPr>
          <w:bCs/>
          <w:lang w:val="en-GB"/>
        </w:rPr>
        <w:t>Human</w:t>
      </w:r>
      <w:r w:rsidR="00EF630C" w:rsidRPr="00A23959">
        <w:rPr>
          <w:bCs/>
          <w:lang w:val="en-GB"/>
        </w:rPr>
        <w:t xml:space="preserve"> resources </w:t>
      </w:r>
      <w:r w:rsidR="00EF630C" w:rsidRPr="00C42653">
        <w:rPr>
          <w:lang w:val="en-GB"/>
        </w:rPr>
        <w:t xml:space="preserve">from CEOS members and external experts supported through Agency </w:t>
      </w:r>
      <w:r>
        <w:rPr>
          <w:lang w:val="en-GB"/>
        </w:rPr>
        <w:t xml:space="preserve">programmes &amp; grants. These resources are described in </w:t>
      </w:r>
      <w:proofErr w:type="gramStart"/>
      <w:r>
        <w:rPr>
          <w:lang w:val="en-GB"/>
        </w:rPr>
        <w:t>greater detail</w:t>
      </w:r>
      <w:proofErr w:type="gramEnd"/>
      <w:r>
        <w:rPr>
          <w:lang w:val="en-GB"/>
        </w:rPr>
        <w:t xml:space="preserve"> below.</w:t>
      </w:r>
    </w:p>
    <w:p w14:paraId="24995A41" w14:textId="01C1D958" w:rsidR="00EF630C" w:rsidRPr="00C42653" w:rsidRDefault="00EF630C" w:rsidP="006669FD">
      <w:pPr>
        <w:numPr>
          <w:ilvl w:val="0"/>
          <w:numId w:val="70"/>
        </w:numPr>
        <w:tabs>
          <w:tab w:val="clear" w:pos="720"/>
          <w:tab w:val="num" w:pos="360"/>
        </w:tabs>
        <w:ind w:left="360"/>
      </w:pPr>
      <w:r w:rsidRPr="00A23959">
        <w:rPr>
          <w:bCs/>
          <w:lang w:val="en-GB"/>
        </w:rPr>
        <w:t>Support for travel and hosting of workshops</w:t>
      </w:r>
      <w:r w:rsidRPr="00C42653">
        <w:rPr>
          <w:lang w:val="en-GB"/>
        </w:rPr>
        <w:t xml:space="preserve"> and networking activities</w:t>
      </w:r>
      <w:r w:rsidR="00FF2621">
        <w:rPr>
          <w:lang w:val="en-GB"/>
        </w:rPr>
        <w:t xml:space="preserve">. This will be critical in </w:t>
      </w:r>
      <w:r w:rsidR="006669FD">
        <w:rPr>
          <w:lang w:val="en-GB"/>
        </w:rPr>
        <w:t xml:space="preserve">the first phase of this effort </w:t>
      </w:r>
      <w:r w:rsidR="00FF2621">
        <w:rPr>
          <w:lang w:val="en-GB"/>
        </w:rPr>
        <w:t>to develop the necessary interfaces</w:t>
      </w:r>
      <w:r w:rsidRPr="00C42653">
        <w:rPr>
          <w:lang w:val="en-GB"/>
        </w:rPr>
        <w:t xml:space="preserve"> with </w:t>
      </w:r>
      <w:r w:rsidR="00C42653">
        <w:t xml:space="preserve">the </w:t>
      </w:r>
      <w:r w:rsidR="006669FD">
        <w:t>national</w:t>
      </w:r>
      <w:r w:rsidRPr="00C42653">
        <w:rPr>
          <w:lang w:val="en-GB"/>
        </w:rPr>
        <w:t xml:space="preserve"> inventory community</w:t>
      </w:r>
      <w:r w:rsidR="00C42653">
        <w:t xml:space="preserve">, the </w:t>
      </w:r>
      <w:r w:rsidR="006669FD">
        <w:t>atmospheric</w:t>
      </w:r>
      <w:r w:rsidRPr="00C42653">
        <w:rPr>
          <w:lang w:val="en-GB"/>
        </w:rPr>
        <w:t xml:space="preserve"> GHG measurement and modelling communities</w:t>
      </w:r>
      <w:r w:rsidR="00C42653">
        <w:t xml:space="preserve">, </w:t>
      </w:r>
      <w:r w:rsidR="006669FD">
        <w:t xml:space="preserve">and </w:t>
      </w:r>
      <w:r w:rsidR="00C42653">
        <w:t>s</w:t>
      </w:r>
      <w:proofErr w:type="spellStart"/>
      <w:r w:rsidRPr="00C42653">
        <w:rPr>
          <w:lang w:val="en-GB"/>
        </w:rPr>
        <w:t>takeholders</w:t>
      </w:r>
      <w:proofErr w:type="spellEnd"/>
      <w:r w:rsidRPr="00C42653">
        <w:rPr>
          <w:lang w:val="en-GB"/>
        </w:rPr>
        <w:t xml:space="preserve"> (</w:t>
      </w:r>
      <w:r w:rsidR="006669FD">
        <w:rPr>
          <w:lang w:val="en-GB"/>
        </w:rPr>
        <w:t xml:space="preserve">e.g. </w:t>
      </w:r>
      <w:r w:rsidRPr="00C42653">
        <w:rPr>
          <w:lang w:val="en-GB"/>
        </w:rPr>
        <w:t xml:space="preserve"> UNFCCC/SBSTA)</w:t>
      </w:r>
      <w:r w:rsidR="006669FD">
        <w:rPr>
          <w:lang w:val="en-GB"/>
        </w:rPr>
        <w:t>.</w:t>
      </w:r>
    </w:p>
    <w:p w14:paraId="4887FB66" w14:textId="2E7F0E0D" w:rsidR="006669FD" w:rsidRDefault="006669FD" w:rsidP="006669FD">
      <w:pPr>
        <w:numPr>
          <w:ilvl w:val="0"/>
          <w:numId w:val="70"/>
        </w:numPr>
        <w:tabs>
          <w:tab w:val="clear" w:pos="720"/>
          <w:tab w:val="num" w:pos="360"/>
        </w:tabs>
        <w:ind w:left="360"/>
      </w:pPr>
      <w:r>
        <w:rPr>
          <w:lang w:val="en-GB"/>
        </w:rPr>
        <w:t xml:space="preserve">On longer time scales, additional, more substantial requests for resources </w:t>
      </w:r>
      <w:proofErr w:type="gramStart"/>
      <w:r>
        <w:rPr>
          <w:lang w:val="en-GB"/>
        </w:rPr>
        <w:t>will be addressed</w:t>
      </w:r>
      <w:proofErr w:type="gramEnd"/>
      <w:r>
        <w:rPr>
          <w:lang w:val="en-GB"/>
        </w:rPr>
        <w:t xml:space="preserve"> by individual agencies t</w:t>
      </w:r>
      <w:r w:rsidR="00EF630C" w:rsidRPr="00C42653">
        <w:rPr>
          <w:lang w:val="en-GB"/>
        </w:rPr>
        <w:t xml:space="preserve">hrough internal funding mechanisms </w:t>
      </w:r>
      <w:r w:rsidR="00EF630C" w:rsidRPr="00A23959">
        <w:rPr>
          <w:bCs/>
          <w:lang w:val="en-GB"/>
        </w:rPr>
        <w:t>support</w:t>
      </w:r>
      <w:r>
        <w:rPr>
          <w:bCs/>
          <w:lang w:val="en-GB"/>
        </w:rPr>
        <w:t>ing</w:t>
      </w:r>
      <w:r w:rsidR="00EF630C" w:rsidRPr="00A23959">
        <w:rPr>
          <w:bCs/>
          <w:lang w:val="en-GB"/>
        </w:rPr>
        <w:t xml:space="preserve"> research, development and infrastructure</w:t>
      </w:r>
      <w:r w:rsidR="00EF630C" w:rsidRPr="00C42653">
        <w:rPr>
          <w:lang w:val="en-GB"/>
        </w:rPr>
        <w:t xml:space="preserve"> for priorities identifie</w:t>
      </w:r>
      <w:r>
        <w:rPr>
          <w:lang w:val="en-GB"/>
        </w:rPr>
        <w:t>d by GHG Task Team and Roadmap i</w:t>
      </w:r>
      <w:r w:rsidR="00EF630C" w:rsidRPr="00C42653">
        <w:rPr>
          <w:lang w:val="en-GB"/>
        </w:rPr>
        <w:t>mplementation</w:t>
      </w:r>
      <w:r>
        <w:rPr>
          <w:lang w:val="en-GB"/>
        </w:rPr>
        <w:t>.</w:t>
      </w:r>
      <w:r w:rsidRPr="006669FD">
        <w:t xml:space="preserve"> </w:t>
      </w:r>
      <w:r w:rsidRPr="006669FD">
        <w:rPr>
          <w:lang w:val="en-GB"/>
        </w:rPr>
        <w:t>The GHG Task Team will provide periodic and prioritized assessments to Agencies highlighting areas where research and infrastructure investments are required to ensure adequate implementation and evolution of the system.</w:t>
      </w:r>
    </w:p>
    <w:p w14:paraId="06728065" w14:textId="217960EC" w:rsidR="006669FD" w:rsidRDefault="006669FD" w:rsidP="006669FD">
      <w:r>
        <w:t>D</w:t>
      </w:r>
      <w:r w:rsidRPr="006669FD">
        <w:t xml:space="preserve">edicated human resources are required from both Agency staff and experts </w:t>
      </w:r>
      <w:r>
        <w:t>that Agencies support</w:t>
      </w:r>
      <w:r w:rsidRPr="006669FD">
        <w:t xml:space="preserve"> on research funding and grants. </w:t>
      </w:r>
    </w:p>
    <w:p w14:paraId="6E100596" w14:textId="798ED9AC" w:rsidR="00EF630C" w:rsidRPr="00C42653" w:rsidRDefault="006669FD" w:rsidP="006669FD">
      <w:pPr>
        <w:pStyle w:val="ListParagraph"/>
        <w:numPr>
          <w:ilvl w:val="0"/>
          <w:numId w:val="77"/>
        </w:numPr>
        <w:ind w:left="360"/>
      </w:pPr>
      <w:r>
        <w:rPr>
          <w:lang w:val="en-GB"/>
        </w:rPr>
        <w:t xml:space="preserve">Agencies are asked to continue, and in some cases </w:t>
      </w:r>
      <w:r w:rsidR="00EF630C" w:rsidRPr="006669FD">
        <w:rPr>
          <w:lang w:val="en-GB"/>
        </w:rPr>
        <w:t>increase support to the GHG relevant staff (time &amp; travel) contributing to the technical implementation tasks in AC-VC and WGCV</w:t>
      </w:r>
      <w:r>
        <w:rPr>
          <w:lang w:val="en-GB"/>
        </w:rPr>
        <w:t>.</w:t>
      </w:r>
    </w:p>
    <w:p w14:paraId="77B33FA1" w14:textId="77777777" w:rsidR="00EF630C" w:rsidRPr="00C42653" w:rsidRDefault="00EF630C" w:rsidP="006669FD">
      <w:pPr>
        <w:pStyle w:val="ListParagraph"/>
        <w:numPr>
          <w:ilvl w:val="0"/>
          <w:numId w:val="73"/>
        </w:numPr>
        <w:ind w:left="360"/>
      </w:pPr>
      <w:r w:rsidRPr="00C42653">
        <w:rPr>
          <w:lang w:val="en-GB"/>
        </w:rPr>
        <w:t xml:space="preserve">For the </w:t>
      </w:r>
      <w:proofErr w:type="spellStart"/>
      <w:r w:rsidRPr="00C42653">
        <w:rPr>
          <w:lang w:val="en-GB"/>
        </w:rPr>
        <w:t>WGClimate</w:t>
      </w:r>
      <w:proofErr w:type="spellEnd"/>
      <w:r w:rsidRPr="00C42653">
        <w:rPr>
          <w:lang w:val="en-GB"/>
        </w:rPr>
        <w:t xml:space="preserve"> GHG Task Team, the following specific “profiles” are required:</w:t>
      </w:r>
    </w:p>
    <w:p w14:paraId="329CF24F" w14:textId="62E91CCD" w:rsidR="00EF630C" w:rsidRPr="00C42653" w:rsidRDefault="00EF630C" w:rsidP="006669FD">
      <w:pPr>
        <w:pStyle w:val="ListParagraph"/>
        <w:numPr>
          <w:ilvl w:val="1"/>
          <w:numId w:val="73"/>
        </w:numPr>
        <w:ind w:left="1080"/>
      </w:pPr>
      <w:r w:rsidRPr="00C42653">
        <w:rPr>
          <w:lang w:val="en-GB"/>
        </w:rPr>
        <w:t xml:space="preserve">Core team ensuring linkages to internal CEOS/CGMS entities (i.e. </w:t>
      </w:r>
      <w:proofErr w:type="spellStart"/>
      <w:r w:rsidRPr="00C42653">
        <w:rPr>
          <w:lang w:val="en-GB"/>
        </w:rPr>
        <w:t>WGCl</w:t>
      </w:r>
      <w:r w:rsidR="00C42653" w:rsidRPr="00C42653">
        <w:rPr>
          <w:lang w:val="en-GB"/>
        </w:rPr>
        <w:t>imate</w:t>
      </w:r>
      <w:proofErr w:type="spellEnd"/>
      <w:r w:rsidR="00C42653" w:rsidRPr="00C42653">
        <w:rPr>
          <w:lang w:val="en-GB"/>
        </w:rPr>
        <w:t xml:space="preserve">, AC-VC , WGCV </w:t>
      </w:r>
      <w:r w:rsidRPr="00A23959">
        <w:rPr>
          <w:lang w:val="en-GB"/>
        </w:rPr>
        <w:t>)</w:t>
      </w:r>
    </w:p>
    <w:p w14:paraId="4A088D0D" w14:textId="77777777" w:rsidR="00EF630C" w:rsidRPr="00C42653" w:rsidRDefault="00EF630C" w:rsidP="006669FD">
      <w:pPr>
        <w:pStyle w:val="ListParagraph"/>
        <w:numPr>
          <w:ilvl w:val="1"/>
          <w:numId w:val="73"/>
        </w:numPr>
        <w:ind w:left="1080"/>
      </w:pPr>
      <w:r w:rsidRPr="00C42653">
        <w:rPr>
          <w:lang w:val="en-GB"/>
        </w:rPr>
        <w:t>Agency staff representing GHG missions/programmes</w:t>
      </w:r>
    </w:p>
    <w:p w14:paraId="45180915" w14:textId="77777777" w:rsidR="00EF630C" w:rsidRPr="00C42653" w:rsidRDefault="00EF630C" w:rsidP="006669FD">
      <w:pPr>
        <w:pStyle w:val="ListParagraph"/>
        <w:numPr>
          <w:ilvl w:val="1"/>
          <w:numId w:val="73"/>
        </w:numPr>
        <w:ind w:left="1080"/>
      </w:pPr>
      <w:r w:rsidRPr="00C42653">
        <w:rPr>
          <w:lang w:val="en-GB"/>
        </w:rPr>
        <w:t>Agency staff from “operational” agencies to ensure operational transition</w:t>
      </w:r>
    </w:p>
    <w:p w14:paraId="462150E8" w14:textId="77777777" w:rsidR="00EF630C" w:rsidRPr="00C42653" w:rsidRDefault="00EF630C" w:rsidP="006669FD">
      <w:pPr>
        <w:pStyle w:val="ListParagraph"/>
        <w:numPr>
          <w:ilvl w:val="1"/>
          <w:numId w:val="73"/>
        </w:numPr>
        <w:ind w:left="1080"/>
      </w:pPr>
      <w:r w:rsidRPr="00C42653">
        <w:rPr>
          <w:lang w:val="en-GB"/>
        </w:rPr>
        <w:lastRenderedPageBreak/>
        <w:t>Agency Staff/Experts with links to Inventory Community</w:t>
      </w:r>
    </w:p>
    <w:p w14:paraId="66C7653F" w14:textId="4CFD70E2" w:rsidR="006669FD" w:rsidRPr="0074749B" w:rsidRDefault="00EF630C" w:rsidP="006669FD">
      <w:pPr>
        <w:pStyle w:val="ListParagraph"/>
        <w:numPr>
          <w:ilvl w:val="1"/>
          <w:numId w:val="73"/>
        </w:numPr>
        <w:ind w:left="1080"/>
      </w:pPr>
      <w:r w:rsidRPr="00C42653">
        <w:rPr>
          <w:lang w:val="en-GB"/>
        </w:rPr>
        <w:t>Agency Staff/Experts involved in modelling aspects</w:t>
      </w:r>
    </w:p>
    <w:p w14:paraId="26FE61C0" w14:textId="3B9A572A" w:rsidR="00BC6CEE" w:rsidRPr="0074749B" w:rsidRDefault="00EF630C" w:rsidP="00A23959">
      <w:pPr>
        <w:rPr>
          <w:lang w:val="en-GB"/>
        </w:rPr>
      </w:pPr>
      <w:r w:rsidRPr="006669FD">
        <w:rPr>
          <w:lang w:val="en-GB"/>
        </w:rPr>
        <w:t>We envisage that the GHG Task Team would include ~12</w:t>
      </w:r>
      <w:r w:rsidR="006669FD">
        <w:rPr>
          <w:lang w:val="en-GB"/>
        </w:rPr>
        <w:t xml:space="preserve"> members, with each member typically dedicating one person-month of effort</w:t>
      </w:r>
      <w:r w:rsidR="00BC6CEE">
        <w:rPr>
          <w:lang w:val="en-GB"/>
        </w:rPr>
        <w:t xml:space="preserve"> each year</w:t>
      </w:r>
      <w:r w:rsidR="006669FD">
        <w:rPr>
          <w:lang w:val="en-GB"/>
        </w:rPr>
        <w:t>. T</w:t>
      </w:r>
      <w:r w:rsidRPr="006669FD">
        <w:rPr>
          <w:lang w:val="en-GB"/>
        </w:rPr>
        <w:t xml:space="preserve">hose leading specific activities </w:t>
      </w:r>
      <w:r w:rsidR="00BC6CEE">
        <w:rPr>
          <w:lang w:val="en-GB"/>
        </w:rPr>
        <w:t>will need to dedicate</w:t>
      </w:r>
      <w:r w:rsidRPr="006669FD">
        <w:rPr>
          <w:lang w:val="en-GB"/>
        </w:rPr>
        <w:t xml:space="preserve"> closer to </w:t>
      </w:r>
      <w:proofErr w:type="gramStart"/>
      <w:r w:rsidRPr="006669FD">
        <w:rPr>
          <w:lang w:val="en-GB"/>
        </w:rPr>
        <w:t>2</w:t>
      </w:r>
      <w:proofErr w:type="gramEnd"/>
      <w:r w:rsidR="00BC6CEE">
        <w:rPr>
          <w:lang w:val="en-GB"/>
        </w:rPr>
        <w:t xml:space="preserve"> person months per year</w:t>
      </w:r>
      <w:r w:rsidRPr="006669FD">
        <w:rPr>
          <w:lang w:val="en-GB"/>
        </w:rPr>
        <w:t>. Support should include necessary travel budgets for attending meetings/workshops.</w:t>
      </w:r>
    </w:p>
    <w:p w14:paraId="3323F307" w14:textId="77777777" w:rsidR="00BC6CEE" w:rsidRDefault="00BC6CEE" w:rsidP="00A23959"/>
    <w:p w14:paraId="0B4C5AF2" w14:textId="77777777" w:rsidR="006F33B6" w:rsidRDefault="006F33B6" w:rsidP="00C42653">
      <w:pPr>
        <w:pStyle w:val="Heading1"/>
        <w:numPr>
          <w:ilvl w:val="0"/>
          <w:numId w:val="57"/>
        </w:numPr>
      </w:pPr>
      <w:bookmarkStart w:id="42" w:name="_Toc21715004"/>
      <w:r>
        <w:t>High-level Timeline</w:t>
      </w:r>
      <w:bookmarkEnd w:id="42"/>
    </w:p>
    <w:p w14:paraId="0B49BEAC" w14:textId="77777777" w:rsidR="004E2528" w:rsidRDefault="0017435D" w:rsidP="00A23959">
      <w:r>
        <w:t xml:space="preserve">The high-level timeline </w:t>
      </w:r>
      <w:proofErr w:type="gramStart"/>
      <w:r>
        <w:t>is driven</w:t>
      </w:r>
      <w:proofErr w:type="gramEnd"/>
      <w:r>
        <w:t xml:space="preserve"> by the </w:t>
      </w:r>
      <w:r w:rsidR="004E2528">
        <w:t xml:space="preserve">overarching goal to provide a GHG constellation architecture for the Global </w:t>
      </w:r>
      <w:proofErr w:type="spellStart"/>
      <w:r w:rsidR="004E2528">
        <w:t>stocktake</w:t>
      </w:r>
      <w:proofErr w:type="spellEnd"/>
      <w:r w:rsidR="004E2528">
        <w:t xml:space="preserve"> in 2023, 2028 and so on.</w:t>
      </w:r>
      <w:r>
        <w:t xml:space="preserve"> </w:t>
      </w:r>
      <w:r w:rsidR="004E2528">
        <w:t xml:space="preserve"> This leads to a “governed-by due-date” </w:t>
      </w:r>
      <w:proofErr w:type="gramStart"/>
      <w:r w:rsidR="004E2528">
        <w:t>schedule which</w:t>
      </w:r>
      <w:proofErr w:type="gramEnd"/>
      <w:r w:rsidR="004E2528">
        <w:t xml:space="preserve"> can be displayed as such.</w:t>
      </w:r>
    </w:p>
    <w:p w14:paraId="27248E46" w14:textId="77777777" w:rsidR="004E2528" w:rsidRDefault="00300009" w:rsidP="00A23959">
      <w:pPr>
        <w:jc w:val="center"/>
      </w:pPr>
      <w:r>
        <w:rPr>
          <w:noProof/>
        </w:rPr>
        <w:drawing>
          <wp:inline distT="0" distB="0" distL="0" distR="0" wp14:anchorId="5E28D39A" wp14:editId="5F4AB12E">
            <wp:extent cx="4546800" cy="3409200"/>
            <wp:effectExtent l="0" t="0" r="635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_Timeline.jpg"/>
                    <pic:cNvPicPr/>
                  </pic:nvPicPr>
                  <pic:blipFill>
                    <a:blip r:embed="rId10">
                      <a:extLst>
                        <a:ext uri="{28A0092B-C50C-407E-A947-70E740481C1C}">
                          <a14:useLocalDpi xmlns:a14="http://schemas.microsoft.com/office/drawing/2010/main" val="0"/>
                        </a:ext>
                      </a:extLst>
                    </a:blip>
                    <a:stretch>
                      <a:fillRect/>
                    </a:stretch>
                  </pic:blipFill>
                  <pic:spPr>
                    <a:xfrm>
                      <a:off x="0" y="0"/>
                      <a:ext cx="4546800" cy="3409200"/>
                    </a:xfrm>
                    <a:prstGeom prst="rect">
                      <a:avLst/>
                    </a:prstGeom>
                  </pic:spPr>
                </pic:pic>
              </a:graphicData>
            </a:graphic>
          </wp:inline>
        </w:drawing>
      </w:r>
    </w:p>
    <w:p w14:paraId="4072D957" w14:textId="77777777" w:rsidR="006B0A7A" w:rsidRDefault="006B0A7A" w:rsidP="00A23959">
      <w:r>
        <w:t>Figure 3: Roadmap timeline underlining the target dates as boundary conditions</w:t>
      </w:r>
    </w:p>
    <w:p w14:paraId="1108A424" w14:textId="77777777" w:rsidR="004E2528" w:rsidRDefault="004E2528" w:rsidP="00A23959"/>
    <w:p w14:paraId="138DC223" w14:textId="77777777" w:rsidR="006F33B6" w:rsidRDefault="006B0A7A" w:rsidP="00A23959">
      <w:r>
        <w:t xml:space="preserve">However, the timeline </w:t>
      </w:r>
      <w:proofErr w:type="gramStart"/>
      <w:r>
        <w:t>can be detailed</w:t>
      </w:r>
      <w:proofErr w:type="gramEnd"/>
      <w:r>
        <w:t xml:space="preserve"> </w:t>
      </w:r>
      <w:r w:rsidR="0017435D">
        <w:t>into four streams</w:t>
      </w:r>
      <w:r>
        <w:t xml:space="preserve"> reflecting also the above mentioned due dates and the allocated actions</w:t>
      </w:r>
      <w:r w:rsidR="0017435D">
        <w:t>:</w:t>
      </w:r>
    </w:p>
    <w:p w14:paraId="405D7003" w14:textId="77777777" w:rsidR="0017435D" w:rsidRDefault="0017435D" w:rsidP="00A23959">
      <w:pPr>
        <w:pStyle w:val="ListParagraph"/>
        <w:numPr>
          <w:ilvl w:val="0"/>
          <w:numId w:val="67"/>
        </w:numPr>
        <w:jc w:val="left"/>
      </w:pPr>
      <w:r w:rsidRPr="00A23959">
        <w:rPr>
          <w:i/>
        </w:rPr>
        <w:t>User Interaction / Requ</w:t>
      </w:r>
      <w:r w:rsidR="004E2528" w:rsidRPr="00A23959">
        <w:rPr>
          <w:i/>
        </w:rPr>
        <w:t>i</w:t>
      </w:r>
      <w:r w:rsidRPr="00A23959">
        <w:rPr>
          <w:i/>
        </w:rPr>
        <w:t>rements refinement</w:t>
      </w:r>
      <w:r>
        <w:br/>
        <w:t>includes the interaction with the envisaged user community and the overall user requirements refinement or update</w:t>
      </w:r>
    </w:p>
    <w:p w14:paraId="5B9EFEE0" w14:textId="77777777" w:rsidR="0017435D" w:rsidRDefault="0017435D" w:rsidP="00A23959">
      <w:pPr>
        <w:pStyle w:val="ListParagraph"/>
        <w:numPr>
          <w:ilvl w:val="0"/>
          <w:numId w:val="67"/>
        </w:numPr>
        <w:jc w:val="left"/>
      </w:pPr>
      <w:r w:rsidRPr="00A23959">
        <w:rPr>
          <w:i/>
        </w:rPr>
        <w:t>Step 1: Prototype System</w:t>
      </w:r>
      <w:r>
        <w:br/>
        <w:t>includes the single steps to proceed to the prototype system with a pre-development phase needed also for the later implementation of the operational system(s)</w:t>
      </w:r>
    </w:p>
    <w:p w14:paraId="7DA4C4C4" w14:textId="77777777" w:rsidR="0017435D" w:rsidRDefault="0017435D" w:rsidP="00A23959">
      <w:pPr>
        <w:pStyle w:val="ListParagraph"/>
        <w:numPr>
          <w:ilvl w:val="0"/>
          <w:numId w:val="67"/>
        </w:numPr>
        <w:jc w:val="left"/>
      </w:pPr>
      <w:r w:rsidRPr="00A23959">
        <w:rPr>
          <w:i/>
        </w:rPr>
        <w:t>Step 2: Initial Operational System</w:t>
      </w:r>
      <w:r w:rsidR="004E2528">
        <w:br/>
        <w:t>includes roughly the typical system engineering steps for the implementation of the operational system</w:t>
      </w:r>
    </w:p>
    <w:p w14:paraId="351D9AE6" w14:textId="77777777" w:rsidR="0017435D" w:rsidRDefault="0017435D" w:rsidP="00A23959">
      <w:pPr>
        <w:pStyle w:val="ListParagraph"/>
        <w:numPr>
          <w:ilvl w:val="0"/>
          <w:numId w:val="67"/>
        </w:numPr>
        <w:jc w:val="left"/>
      </w:pPr>
      <w:r w:rsidRPr="00A23959">
        <w:rPr>
          <w:i/>
        </w:rPr>
        <w:lastRenderedPageBreak/>
        <w:t>Management packages</w:t>
      </w:r>
      <w:r w:rsidR="004E2528">
        <w:br/>
        <w:t>includes all review and progress reporting items and the risk register as well.</w:t>
      </w:r>
    </w:p>
    <w:p w14:paraId="4BCC4198" w14:textId="77777777" w:rsidR="006B0A7A" w:rsidRDefault="006B0A7A" w:rsidP="00A23959">
      <w:pPr>
        <w:ind w:left="720"/>
      </w:pPr>
    </w:p>
    <w:p w14:paraId="75FD4E77" w14:textId="05D49DC9" w:rsidR="006B0A7A" w:rsidRDefault="00453CFF" w:rsidP="00A23959">
      <w:r w:rsidRPr="00453CFF">
        <w:rPr>
          <w:noProof/>
        </w:rPr>
        <w:drawing>
          <wp:inline distT="0" distB="0" distL="0" distR="0" wp14:anchorId="053BBAFA" wp14:editId="3DD6FE99">
            <wp:extent cx="5727700" cy="4300145"/>
            <wp:effectExtent l="0" t="0" r="635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4300145"/>
                    </a:xfrm>
                    <a:prstGeom prst="rect">
                      <a:avLst/>
                    </a:prstGeom>
                    <a:noFill/>
                    <a:ln>
                      <a:noFill/>
                    </a:ln>
                  </pic:spPr>
                </pic:pic>
              </a:graphicData>
            </a:graphic>
          </wp:inline>
        </w:drawing>
      </w:r>
    </w:p>
    <w:p w14:paraId="11B81ACD" w14:textId="77777777" w:rsidR="006B0A7A" w:rsidRDefault="006B0A7A" w:rsidP="00A23959"/>
    <w:p w14:paraId="2943A62C" w14:textId="48B5DB92" w:rsidR="006B0A7A" w:rsidRDefault="004E2528" w:rsidP="00A23959">
      <w:r>
        <w:t xml:space="preserve">Please note that the current timeline is a guideline for the work plan implementation and will be substituted when a more detailed work plan will be in place. </w:t>
      </w:r>
    </w:p>
    <w:p w14:paraId="234AA9A6" w14:textId="77777777" w:rsidR="006B0A7A" w:rsidRDefault="006B0A7A" w:rsidP="00A23959"/>
    <w:p w14:paraId="23451BF6" w14:textId="77777777" w:rsidR="00453CFF" w:rsidRDefault="00453CFF">
      <w:pPr>
        <w:rPr>
          <w:rStyle w:val="Strong"/>
        </w:rPr>
      </w:pPr>
      <w:r>
        <w:rPr>
          <w:rStyle w:val="Strong"/>
        </w:rPr>
        <w:br w:type="page"/>
      </w:r>
    </w:p>
    <w:p w14:paraId="025AF99C" w14:textId="577449EE" w:rsidR="006B0A7A" w:rsidRDefault="006B0A7A" w:rsidP="00A23959">
      <w:pPr>
        <w:rPr>
          <w:rStyle w:val="Strong"/>
          <w:b w:val="0"/>
        </w:rPr>
      </w:pPr>
      <w:r>
        <w:rPr>
          <w:rStyle w:val="Strong"/>
        </w:rPr>
        <w:lastRenderedPageBreak/>
        <w:t>Annex</w:t>
      </w:r>
    </w:p>
    <w:p w14:paraId="772680E7" w14:textId="77777777" w:rsidR="006B0A7A" w:rsidRDefault="006B0A7A" w:rsidP="00A23959">
      <w:pPr>
        <w:rPr>
          <w:rStyle w:val="Emphasis"/>
          <w:b/>
        </w:rPr>
      </w:pPr>
      <w:proofErr w:type="spellStart"/>
      <w:r>
        <w:rPr>
          <w:rStyle w:val="Emphasis"/>
        </w:rPr>
        <w:t>WGClimate</w:t>
      </w:r>
      <w:proofErr w:type="spellEnd"/>
      <w:r>
        <w:rPr>
          <w:rStyle w:val="Emphasis"/>
        </w:rPr>
        <w:t xml:space="preserve"> Task Team membership</w:t>
      </w:r>
    </w:p>
    <w:p w14:paraId="1B2C16B5" w14:textId="77777777" w:rsidR="006B0A7A" w:rsidRDefault="006B0A7A" w:rsidP="00A23959">
      <w:pPr>
        <w:pStyle w:val="ListParagraph"/>
        <w:numPr>
          <w:ilvl w:val="0"/>
          <w:numId w:val="68"/>
        </w:numPr>
        <w:rPr>
          <w:rStyle w:val="Emphasis"/>
          <w:b/>
          <w:i w:val="0"/>
        </w:rPr>
      </w:pPr>
      <w:r>
        <w:rPr>
          <w:rStyle w:val="Emphasis"/>
          <w:i w:val="0"/>
        </w:rPr>
        <w:t xml:space="preserve">Mark Dowell (EU, </w:t>
      </w:r>
      <w:proofErr w:type="spellStart"/>
      <w:r>
        <w:rPr>
          <w:rStyle w:val="Emphasis"/>
          <w:i w:val="0"/>
        </w:rPr>
        <w:t>WGClimate</w:t>
      </w:r>
      <w:proofErr w:type="spellEnd"/>
      <w:r>
        <w:rPr>
          <w:rStyle w:val="Emphasis"/>
          <w:i w:val="0"/>
        </w:rPr>
        <w:t>, Task Team lead)</w:t>
      </w:r>
    </w:p>
    <w:p w14:paraId="056FE0D2" w14:textId="77777777" w:rsidR="006B0A7A" w:rsidRDefault="006B0A7A" w:rsidP="00A23959">
      <w:pPr>
        <w:pStyle w:val="ListParagraph"/>
        <w:numPr>
          <w:ilvl w:val="0"/>
          <w:numId w:val="68"/>
        </w:numPr>
        <w:rPr>
          <w:rStyle w:val="Emphasis"/>
          <w:b/>
          <w:i w:val="0"/>
        </w:rPr>
      </w:pPr>
      <w:r>
        <w:rPr>
          <w:rStyle w:val="Emphasis"/>
          <w:i w:val="0"/>
        </w:rPr>
        <w:t xml:space="preserve">Albrecht von Bargen (DLR, </w:t>
      </w:r>
      <w:proofErr w:type="spellStart"/>
      <w:r>
        <w:rPr>
          <w:rStyle w:val="Emphasis"/>
          <w:i w:val="0"/>
        </w:rPr>
        <w:t>WGClimate</w:t>
      </w:r>
      <w:proofErr w:type="spellEnd"/>
      <w:r>
        <w:rPr>
          <w:rStyle w:val="Emphasis"/>
          <w:i w:val="0"/>
        </w:rPr>
        <w:t xml:space="preserve"> Vice-chair, deputy Task Team lead ex officio)</w:t>
      </w:r>
    </w:p>
    <w:p w14:paraId="30107B35" w14:textId="77777777" w:rsidR="00E77CDB" w:rsidRDefault="00E77CDB" w:rsidP="00E77CDB">
      <w:pPr>
        <w:pStyle w:val="ListParagraph"/>
        <w:numPr>
          <w:ilvl w:val="0"/>
          <w:numId w:val="68"/>
        </w:numPr>
        <w:rPr>
          <w:rStyle w:val="Emphasis"/>
          <w:i w:val="0"/>
        </w:rPr>
      </w:pPr>
      <w:proofErr w:type="spellStart"/>
      <w:r>
        <w:rPr>
          <w:rStyle w:val="Emphasis"/>
          <w:i w:val="0"/>
        </w:rPr>
        <w:t>Bojan</w:t>
      </w:r>
      <w:proofErr w:type="spellEnd"/>
      <w:r>
        <w:rPr>
          <w:rStyle w:val="Emphasis"/>
          <w:i w:val="0"/>
        </w:rPr>
        <w:t xml:space="preserve"> </w:t>
      </w:r>
      <w:proofErr w:type="spellStart"/>
      <w:r>
        <w:rPr>
          <w:rStyle w:val="Emphasis"/>
          <w:i w:val="0"/>
        </w:rPr>
        <w:t>Bojkov</w:t>
      </w:r>
      <w:proofErr w:type="spellEnd"/>
      <w:r>
        <w:rPr>
          <w:rStyle w:val="Emphasis"/>
          <w:i w:val="0"/>
        </w:rPr>
        <w:t xml:space="preserve"> (EUMETSAT, CEOS WGCV)</w:t>
      </w:r>
    </w:p>
    <w:p w14:paraId="03536C76" w14:textId="77777777" w:rsidR="006B0A7A" w:rsidRDefault="006B0A7A" w:rsidP="00A23959">
      <w:pPr>
        <w:pStyle w:val="ListParagraph"/>
        <w:numPr>
          <w:ilvl w:val="0"/>
          <w:numId w:val="68"/>
        </w:numPr>
        <w:rPr>
          <w:rStyle w:val="Emphasis"/>
          <w:b/>
          <w:i w:val="0"/>
        </w:rPr>
      </w:pPr>
      <w:r>
        <w:rPr>
          <w:rStyle w:val="Emphasis"/>
          <w:i w:val="0"/>
        </w:rPr>
        <w:t>David Crisp (NASA, CEOS AC-VC)</w:t>
      </w:r>
    </w:p>
    <w:p w14:paraId="327493EE" w14:textId="77777777" w:rsidR="006B0A7A" w:rsidRDefault="006B0A7A" w:rsidP="00A23959">
      <w:pPr>
        <w:pStyle w:val="ListParagraph"/>
        <w:numPr>
          <w:ilvl w:val="0"/>
          <w:numId w:val="68"/>
        </w:numPr>
        <w:rPr>
          <w:rStyle w:val="Emphasis"/>
          <w:b/>
          <w:i w:val="0"/>
        </w:rPr>
      </w:pPr>
      <w:r>
        <w:rPr>
          <w:rStyle w:val="Emphasis"/>
          <w:i w:val="0"/>
        </w:rPr>
        <w:t xml:space="preserve">Akihiko </w:t>
      </w:r>
      <w:proofErr w:type="spellStart"/>
      <w:r>
        <w:rPr>
          <w:rStyle w:val="Emphasis"/>
          <w:i w:val="0"/>
        </w:rPr>
        <w:t>Kuze</w:t>
      </w:r>
      <w:proofErr w:type="spellEnd"/>
      <w:r>
        <w:rPr>
          <w:rStyle w:val="Emphasis"/>
          <w:i w:val="0"/>
        </w:rPr>
        <w:t xml:space="preserve"> (JAXA, CEOS WGCV)</w:t>
      </w:r>
    </w:p>
    <w:p w14:paraId="3D5BD99F" w14:textId="77777777" w:rsidR="006B0A7A" w:rsidRDefault="006B0A7A" w:rsidP="00A23959">
      <w:pPr>
        <w:pStyle w:val="ListParagraph"/>
        <w:numPr>
          <w:ilvl w:val="0"/>
          <w:numId w:val="68"/>
        </w:numPr>
        <w:rPr>
          <w:rStyle w:val="Emphasis"/>
          <w:b/>
          <w:i w:val="0"/>
        </w:rPr>
      </w:pPr>
      <w:proofErr w:type="spellStart"/>
      <w:r>
        <w:rPr>
          <w:rStyle w:val="Emphasis"/>
          <w:i w:val="0"/>
        </w:rPr>
        <w:t>Rüdiger</w:t>
      </w:r>
      <w:proofErr w:type="spellEnd"/>
      <w:r>
        <w:rPr>
          <w:rStyle w:val="Emphasis"/>
          <w:i w:val="0"/>
        </w:rPr>
        <w:t xml:space="preserve"> Lang (EUMETSAT)</w:t>
      </w:r>
    </w:p>
    <w:p w14:paraId="07B8702C" w14:textId="77777777" w:rsidR="00E77CDB" w:rsidRPr="00E77CDB" w:rsidRDefault="00E77CDB" w:rsidP="00A23959">
      <w:pPr>
        <w:pStyle w:val="ListParagraph"/>
        <w:numPr>
          <w:ilvl w:val="0"/>
          <w:numId w:val="68"/>
        </w:numPr>
        <w:rPr>
          <w:rStyle w:val="Emphasis"/>
          <w:b/>
          <w:i w:val="0"/>
        </w:rPr>
      </w:pPr>
      <w:r>
        <w:rPr>
          <w:rStyle w:val="Emphasis"/>
          <w:i w:val="0"/>
        </w:rPr>
        <w:t xml:space="preserve">Ben </w:t>
      </w:r>
      <w:proofErr w:type="spellStart"/>
      <w:r>
        <w:rPr>
          <w:rStyle w:val="Emphasis"/>
          <w:i w:val="0"/>
        </w:rPr>
        <w:t>Veihelmann</w:t>
      </w:r>
      <w:proofErr w:type="spellEnd"/>
      <w:r>
        <w:rPr>
          <w:rStyle w:val="Emphasis"/>
          <w:i w:val="0"/>
        </w:rPr>
        <w:t xml:space="preserve"> (ESA, CEOS AC-VC)</w:t>
      </w:r>
    </w:p>
    <w:p w14:paraId="49B3FF6E" w14:textId="77777777" w:rsidR="006B0A7A" w:rsidRDefault="006B0A7A" w:rsidP="00A23959">
      <w:pPr>
        <w:pStyle w:val="ListParagraph"/>
        <w:numPr>
          <w:ilvl w:val="0"/>
          <w:numId w:val="68"/>
        </w:numPr>
        <w:rPr>
          <w:rStyle w:val="Emphasis"/>
          <w:b/>
          <w:i w:val="0"/>
        </w:rPr>
      </w:pPr>
      <w:r>
        <w:rPr>
          <w:rStyle w:val="Emphasis"/>
          <w:i w:val="0"/>
        </w:rPr>
        <w:t>N.N. (</w:t>
      </w:r>
      <w:r w:rsidR="00E77CDB">
        <w:rPr>
          <w:rStyle w:val="Emphasis"/>
          <w:i w:val="0"/>
        </w:rPr>
        <w:t>agency representative*)</w:t>
      </w:r>
    </w:p>
    <w:p w14:paraId="195B08B0" w14:textId="77777777" w:rsidR="00E77CDB" w:rsidRDefault="00E77CDB" w:rsidP="00A23959">
      <w:pPr>
        <w:pStyle w:val="ListParagraph"/>
        <w:numPr>
          <w:ilvl w:val="0"/>
          <w:numId w:val="68"/>
        </w:numPr>
        <w:rPr>
          <w:rStyle w:val="Emphasis"/>
          <w:b/>
          <w:i w:val="0"/>
        </w:rPr>
      </w:pPr>
      <w:r>
        <w:rPr>
          <w:rStyle w:val="Emphasis"/>
          <w:i w:val="0"/>
        </w:rPr>
        <w:t>N.N. (agency representative*)</w:t>
      </w:r>
    </w:p>
    <w:p w14:paraId="546906BA" w14:textId="77777777" w:rsidR="00E77CDB" w:rsidRDefault="00E77CDB" w:rsidP="00A23959">
      <w:pPr>
        <w:pStyle w:val="ListParagraph"/>
        <w:numPr>
          <w:ilvl w:val="0"/>
          <w:numId w:val="68"/>
        </w:numPr>
        <w:rPr>
          <w:rStyle w:val="Emphasis"/>
          <w:b/>
          <w:i w:val="0"/>
        </w:rPr>
      </w:pPr>
      <w:r>
        <w:rPr>
          <w:rStyle w:val="Emphasis"/>
          <w:i w:val="0"/>
        </w:rPr>
        <w:t>N.N. (GSICS)</w:t>
      </w:r>
    </w:p>
    <w:p w14:paraId="5C33EFA6" w14:textId="77777777" w:rsidR="00E77CDB" w:rsidRPr="00A23959" w:rsidRDefault="00E77CDB" w:rsidP="00A23959">
      <w:pPr>
        <w:ind w:left="360"/>
        <w:rPr>
          <w:rStyle w:val="Emphasis"/>
          <w:i w:val="0"/>
        </w:rPr>
      </w:pPr>
      <w:r>
        <w:rPr>
          <w:rStyle w:val="Emphasis"/>
          <w:i w:val="0"/>
        </w:rPr>
        <w:t xml:space="preserve">*Representatives </w:t>
      </w:r>
      <w:proofErr w:type="gramStart"/>
      <w:r>
        <w:rPr>
          <w:rStyle w:val="Emphasis"/>
          <w:i w:val="0"/>
        </w:rPr>
        <w:t>shall be chosen</w:t>
      </w:r>
      <w:proofErr w:type="gramEnd"/>
      <w:r>
        <w:rPr>
          <w:rStyle w:val="Emphasis"/>
          <w:i w:val="0"/>
        </w:rPr>
        <w:t xml:space="preserve"> from agencies not being represented in the current membership</w:t>
      </w:r>
    </w:p>
    <w:p w14:paraId="59315159" w14:textId="55DA909F" w:rsidR="000E5CE2" w:rsidRDefault="000E5CE2" w:rsidP="00BC6CEE">
      <w:pPr>
        <w:spacing w:after="0"/>
        <w:jc w:val="left"/>
      </w:pPr>
      <w:bookmarkStart w:id="43" w:name="_heading=h.gjdgxs" w:colFirst="0" w:colLast="0"/>
      <w:bookmarkStart w:id="44" w:name="_heading=h.dhdoyrxi0a07" w:colFirst="0" w:colLast="0"/>
      <w:bookmarkStart w:id="45" w:name="_heading=h.399jyv7ruzrd" w:colFirst="0" w:colLast="0"/>
      <w:bookmarkStart w:id="46" w:name="_heading=h.8ulxkxdc2mv5" w:colFirst="0" w:colLast="0"/>
      <w:bookmarkStart w:id="47" w:name="_heading=h.8v4v8z36vo5s" w:colFirst="0" w:colLast="0"/>
      <w:bookmarkStart w:id="48" w:name="_heading=h.xnnert4y7ptu" w:colFirst="0" w:colLast="0"/>
      <w:bookmarkStart w:id="49" w:name="_heading=h.i670u8qoc6y0" w:colFirst="0" w:colLast="0"/>
      <w:bookmarkStart w:id="50" w:name="_heading=h.yworu2ee42sa" w:colFirst="0" w:colLast="0"/>
      <w:bookmarkStart w:id="51" w:name="_heading=h.hqroa8exs5dk" w:colFirst="0" w:colLast="0"/>
      <w:bookmarkStart w:id="52" w:name="_heading=h.95ixvqre3j58" w:colFirst="0" w:colLast="0"/>
      <w:bookmarkStart w:id="53" w:name="_heading=h.pbwz1d8ddczx" w:colFirst="0" w:colLast="0"/>
      <w:bookmarkStart w:id="54" w:name="_heading=h.nctlrlu5xp8w" w:colFirst="0" w:colLast="0"/>
      <w:bookmarkEnd w:id="43"/>
      <w:bookmarkEnd w:id="44"/>
      <w:bookmarkEnd w:id="45"/>
      <w:bookmarkEnd w:id="46"/>
      <w:bookmarkEnd w:id="47"/>
      <w:bookmarkEnd w:id="48"/>
      <w:bookmarkEnd w:id="49"/>
      <w:bookmarkEnd w:id="50"/>
      <w:bookmarkEnd w:id="51"/>
      <w:bookmarkEnd w:id="52"/>
      <w:bookmarkEnd w:id="53"/>
      <w:bookmarkEnd w:id="54"/>
    </w:p>
    <w:p w14:paraId="540AAF01" w14:textId="77777777" w:rsidR="00330A6B" w:rsidRDefault="00330A6B"/>
    <w:p w14:paraId="38E893E1" w14:textId="77777777" w:rsidR="00330A6B" w:rsidRDefault="00330A6B"/>
    <w:p w14:paraId="4D7DE266" w14:textId="77777777" w:rsidR="00330A6B" w:rsidRDefault="00330A6B"/>
    <w:sectPr w:rsidR="00330A6B">
      <w:headerReference w:type="default" r:id="rId12"/>
      <w:footerReference w:type="default" r:id="rId13"/>
      <w:headerReference w:type="first" r:id="rId14"/>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706D3" w14:textId="77777777" w:rsidR="006D2295" w:rsidRDefault="006D2295">
      <w:pPr>
        <w:spacing w:after="0"/>
      </w:pPr>
      <w:r>
        <w:separator/>
      </w:r>
    </w:p>
  </w:endnote>
  <w:endnote w:type="continuationSeparator" w:id="0">
    <w:p w14:paraId="22F9C44B" w14:textId="77777777" w:rsidR="006D2295" w:rsidRDefault="006D22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lthazar">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C336" w14:textId="0AEDF785" w:rsidR="00EF630C" w:rsidRDefault="00EF630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8D1794">
      <w:rPr>
        <w:noProof/>
        <w:color w:val="000000"/>
      </w:rPr>
      <w:t>20</w:t>
    </w:r>
    <w:r>
      <w:rPr>
        <w:color w:val="000000"/>
      </w:rPr>
      <w:fldChar w:fldCharType="end"/>
    </w:r>
  </w:p>
  <w:p w14:paraId="796BAFA7" w14:textId="77777777" w:rsidR="00EF630C" w:rsidRDefault="00EF630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9EC78" w14:textId="77777777" w:rsidR="006D2295" w:rsidRDefault="006D2295">
      <w:pPr>
        <w:spacing w:after="0"/>
      </w:pPr>
      <w:r>
        <w:separator/>
      </w:r>
    </w:p>
  </w:footnote>
  <w:footnote w:type="continuationSeparator" w:id="0">
    <w:p w14:paraId="06DE2649" w14:textId="77777777" w:rsidR="006D2295" w:rsidRDefault="006D2295">
      <w:pPr>
        <w:spacing w:after="0"/>
      </w:pPr>
      <w:r>
        <w:continuationSeparator/>
      </w:r>
    </w:p>
  </w:footnote>
  <w:footnote w:id="1">
    <w:p w14:paraId="5D329EDE" w14:textId="77777777" w:rsidR="00EF630C" w:rsidRPr="00A23959" w:rsidRDefault="00EF630C">
      <w:pPr>
        <w:pStyle w:val="FootnoteText"/>
        <w:rPr>
          <w:lang w:val="de-DE"/>
        </w:rPr>
      </w:pPr>
      <w:r>
        <w:rPr>
          <w:rStyle w:val="FootnoteReference"/>
        </w:rPr>
        <w:footnoteRef/>
      </w:r>
      <w:r>
        <w:t xml:space="preserve"> </w:t>
      </w:r>
      <w:r>
        <w:rPr>
          <w:lang w:val="de-DE"/>
        </w:rPr>
        <w:t>UNFCCC/SBSTA: United Nations Framework Convention on Climate Change / Subsidiary Body for Scientific and Technology Advice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A975" w14:textId="77777777" w:rsidR="00EF630C" w:rsidRDefault="00EF630C">
    <w:pPr>
      <w:pBdr>
        <w:top w:val="nil"/>
        <w:left w:val="nil"/>
        <w:bottom w:val="nil"/>
        <w:right w:val="nil"/>
        <w:between w:val="nil"/>
      </w:pBdr>
      <w:tabs>
        <w:tab w:val="center" w:pos="4513"/>
        <w:tab w:val="right" w:pos="9026"/>
      </w:tabs>
      <w:jc w:val="center"/>
      <w:rPr>
        <w:color w:val="000000"/>
      </w:rPr>
    </w:pPr>
    <w:r>
      <w:rPr>
        <w:rFonts w:ascii="Times New Roman" w:eastAsia="Times New Roman" w:hAnsi="Times New Roman" w:cs="Times New Roman"/>
        <w:noProof/>
        <w:color w:val="000000"/>
        <w:sz w:val="24"/>
        <w:szCs w:val="24"/>
      </w:rPr>
      <w:drawing>
        <wp:inline distT="0" distB="0" distL="0" distR="0" wp14:anchorId="61408836" wp14:editId="03B663CD">
          <wp:extent cx="5475605" cy="63119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75605" cy="631190"/>
                  </a:xfrm>
                  <a:prstGeom prst="rect">
                    <a:avLst/>
                  </a:prstGeom>
                  <a:ln/>
                </pic:spPr>
              </pic:pic>
            </a:graphicData>
          </a:graphic>
        </wp:inline>
      </w:drawing>
    </w:r>
  </w:p>
  <w:p w14:paraId="684DB55C" w14:textId="77777777" w:rsidR="00EF630C" w:rsidRDefault="00EF630C">
    <w:pPr>
      <w:pBdr>
        <w:top w:val="nil"/>
        <w:left w:val="nil"/>
        <w:bottom w:val="nil"/>
        <w:right w:val="nil"/>
        <w:between w:val="nil"/>
      </w:pBdr>
      <w:tabs>
        <w:tab w:val="center" w:pos="4513"/>
        <w:tab w:val="right" w:pos="9026"/>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36802" w14:textId="77777777" w:rsidR="00EF630C" w:rsidRDefault="00EF630C">
    <w:pPr>
      <w:pBdr>
        <w:top w:val="nil"/>
        <w:left w:val="nil"/>
        <w:bottom w:val="nil"/>
        <w:right w:val="nil"/>
        <w:between w:val="nil"/>
      </w:pBdr>
      <w:tabs>
        <w:tab w:val="center" w:pos="4513"/>
        <w:tab w:val="right" w:pos="9026"/>
      </w:tabs>
      <w:rPr>
        <w:color w:val="000000"/>
      </w:rPr>
    </w:pPr>
    <w:r>
      <w:rPr>
        <w:rFonts w:ascii="Times New Roman" w:eastAsia="Times New Roman" w:hAnsi="Times New Roman" w:cs="Times New Roman"/>
        <w:noProof/>
        <w:color w:val="000000"/>
        <w:sz w:val="24"/>
        <w:szCs w:val="24"/>
      </w:rPr>
      <w:drawing>
        <wp:inline distT="0" distB="0" distL="0" distR="0" wp14:anchorId="071F5D55" wp14:editId="594C3FA6">
          <wp:extent cx="5475605" cy="63119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75605" cy="631190"/>
                  </a:xfrm>
                  <a:prstGeom prst="rect">
                    <a:avLst/>
                  </a:prstGeom>
                  <a:ln/>
                </pic:spPr>
              </pic:pic>
            </a:graphicData>
          </a:graphic>
        </wp:inline>
      </w:drawing>
    </w:r>
  </w:p>
  <w:p w14:paraId="5AA9BAA4" w14:textId="77777777" w:rsidR="00EF630C" w:rsidRDefault="00EF630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45C"/>
    <w:multiLevelType w:val="multilevel"/>
    <w:tmpl w:val="CFCC3B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Roman"/>
      <w:lvlText w:val="%2."/>
      <w:lvlJc w:val="righ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5F52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966466"/>
    <w:multiLevelType w:val="multilevel"/>
    <w:tmpl w:val="BA388D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Roman"/>
      <w:lvlText w:val="%2."/>
      <w:lvlJc w:val="righ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C33AF3"/>
    <w:multiLevelType w:val="hybridMultilevel"/>
    <w:tmpl w:val="90E8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D37CD"/>
    <w:multiLevelType w:val="hybridMultilevel"/>
    <w:tmpl w:val="F002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D5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F1403"/>
    <w:multiLevelType w:val="multilevel"/>
    <w:tmpl w:val="CE728A6A"/>
    <w:styleLink w:val="Style1"/>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C460AE7"/>
    <w:multiLevelType w:val="hybridMultilevel"/>
    <w:tmpl w:val="E370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14706"/>
    <w:multiLevelType w:val="hybridMultilevel"/>
    <w:tmpl w:val="D0FCF2A0"/>
    <w:lvl w:ilvl="0" w:tplc="9ABCAC74">
      <w:start w:val="1"/>
      <w:numFmt w:val="decimal"/>
      <w:lvlText w:val="%1."/>
      <w:lvlJc w:val="left"/>
      <w:pPr>
        <w:tabs>
          <w:tab w:val="num" w:pos="720"/>
        </w:tabs>
        <w:ind w:left="720" w:hanging="360"/>
      </w:pPr>
    </w:lvl>
    <w:lvl w:ilvl="1" w:tplc="8630440E">
      <w:start w:val="1"/>
      <w:numFmt w:val="decimal"/>
      <w:lvlText w:val="%2."/>
      <w:lvlJc w:val="left"/>
      <w:pPr>
        <w:tabs>
          <w:tab w:val="num" w:pos="1440"/>
        </w:tabs>
        <w:ind w:left="1440" w:hanging="360"/>
      </w:pPr>
    </w:lvl>
    <w:lvl w:ilvl="2" w:tplc="408A569A">
      <w:start w:val="212"/>
      <w:numFmt w:val="bullet"/>
      <w:lvlText w:val=""/>
      <w:lvlJc w:val="left"/>
      <w:pPr>
        <w:tabs>
          <w:tab w:val="num" w:pos="2160"/>
        </w:tabs>
        <w:ind w:left="2160" w:hanging="360"/>
      </w:pPr>
      <w:rPr>
        <w:rFonts w:ascii="Wingdings" w:hAnsi="Wingdings" w:hint="default"/>
      </w:rPr>
    </w:lvl>
    <w:lvl w:ilvl="3" w:tplc="CA4A18EA" w:tentative="1">
      <w:start w:val="1"/>
      <w:numFmt w:val="decimal"/>
      <w:lvlText w:val="%4."/>
      <w:lvlJc w:val="left"/>
      <w:pPr>
        <w:tabs>
          <w:tab w:val="num" w:pos="2880"/>
        </w:tabs>
        <w:ind w:left="2880" w:hanging="360"/>
      </w:pPr>
    </w:lvl>
    <w:lvl w:ilvl="4" w:tplc="436E46DA" w:tentative="1">
      <w:start w:val="1"/>
      <w:numFmt w:val="decimal"/>
      <w:lvlText w:val="%5."/>
      <w:lvlJc w:val="left"/>
      <w:pPr>
        <w:tabs>
          <w:tab w:val="num" w:pos="3600"/>
        </w:tabs>
        <w:ind w:left="3600" w:hanging="360"/>
      </w:pPr>
    </w:lvl>
    <w:lvl w:ilvl="5" w:tplc="77185BF4" w:tentative="1">
      <w:start w:val="1"/>
      <w:numFmt w:val="decimal"/>
      <w:lvlText w:val="%6."/>
      <w:lvlJc w:val="left"/>
      <w:pPr>
        <w:tabs>
          <w:tab w:val="num" w:pos="4320"/>
        </w:tabs>
        <w:ind w:left="4320" w:hanging="360"/>
      </w:pPr>
    </w:lvl>
    <w:lvl w:ilvl="6" w:tplc="F5F6877C" w:tentative="1">
      <w:start w:val="1"/>
      <w:numFmt w:val="decimal"/>
      <w:lvlText w:val="%7."/>
      <w:lvlJc w:val="left"/>
      <w:pPr>
        <w:tabs>
          <w:tab w:val="num" w:pos="5040"/>
        </w:tabs>
        <w:ind w:left="5040" w:hanging="360"/>
      </w:pPr>
    </w:lvl>
    <w:lvl w:ilvl="7" w:tplc="07B278EC" w:tentative="1">
      <w:start w:val="1"/>
      <w:numFmt w:val="decimal"/>
      <w:lvlText w:val="%8."/>
      <w:lvlJc w:val="left"/>
      <w:pPr>
        <w:tabs>
          <w:tab w:val="num" w:pos="5760"/>
        </w:tabs>
        <w:ind w:left="5760" w:hanging="360"/>
      </w:pPr>
    </w:lvl>
    <w:lvl w:ilvl="8" w:tplc="935CD4D0" w:tentative="1">
      <w:start w:val="1"/>
      <w:numFmt w:val="decimal"/>
      <w:lvlText w:val="%9."/>
      <w:lvlJc w:val="left"/>
      <w:pPr>
        <w:tabs>
          <w:tab w:val="num" w:pos="6480"/>
        </w:tabs>
        <w:ind w:left="6480" w:hanging="360"/>
      </w:pPr>
    </w:lvl>
  </w:abstractNum>
  <w:abstractNum w:abstractNumId="9" w15:restartNumberingAfterBreak="0">
    <w:nsid w:val="0FFD18C4"/>
    <w:multiLevelType w:val="hybridMultilevel"/>
    <w:tmpl w:val="BD9C7F0A"/>
    <w:lvl w:ilvl="0" w:tplc="A278888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B7EA2"/>
    <w:multiLevelType w:val="hybridMultilevel"/>
    <w:tmpl w:val="359C0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2659F5"/>
    <w:multiLevelType w:val="multilevel"/>
    <w:tmpl w:val="C0785F8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5E5B7A"/>
    <w:multiLevelType w:val="hybridMultilevel"/>
    <w:tmpl w:val="36CA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92D27"/>
    <w:multiLevelType w:val="multilevel"/>
    <w:tmpl w:val="9B44FCEA"/>
    <w:lvl w:ilvl="0">
      <w:start w:val="1"/>
      <w:numFmt w:val="decimal"/>
      <w:pStyle w:val="Heading1"/>
      <w:lvlText w:val="%1"/>
      <w:lvlJc w:val="left"/>
      <w:pPr>
        <w:ind w:left="432" w:hanging="432"/>
      </w:pPr>
    </w:lvl>
    <w:lvl w:ilvl="1">
      <w:start w:val="1"/>
      <w:numFmt w:val="decimal"/>
      <w:pStyle w:val="Heading2"/>
      <w:lvlText w:val="%1.%2"/>
      <w:lvlJc w:val="left"/>
      <w:pPr>
        <w:ind w:left="1296" w:hanging="576"/>
      </w:pPr>
      <w:rPr>
        <w:color w:val="0070C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78F6C3D"/>
    <w:multiLevelType w:val="hybridMultilevel"/>
    <w:tmpl w:val="69FC512E"/>
    <w:lvl w:ilvl="0" w:tplc="373429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9AA3B43"/>
    <w:multiLevelType w:val="multilevel"/>
    <w:tmpl w:val="80DCDE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Roman"/>
      <w:lvlText w:val="%2."/>
      <w:lvlJc w:val="righ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9B02A9B"/>
    <w:multiLevelType w:val="multilevel"/>
    <w:tmpl w:val="CE728A6A"/>
    <w:numStyleLink w:val="Style1"/>
  </w:abstractNum>
  <w:abstractNum w:abstractNumId="17" w15:restartNumberingAfterBreak="0">
    <w:nsid w:val="1CCD0AE8"/>
    <w:multiLevelType w:val="hybridMultilevel"/>
    <w:tmpl w:val="19647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2D34150"/>
    <w:multiLevelType w:val="multilevel"/>
    <w:tmpl w:val="B568C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47856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C65CE8"/>
    <w:multiLevelType w:val="hybridMultilevel"/>
    <w:tmpl w:val="0820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2F1516"/>
    <w:multiLevelType w:val="multilevel"/>
    <w:tmpl w:val="25020D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0A0A9F"/>
    <w:multiLevelType w:val="multilevel"/>
    <w:tmpl w:val="4B5C62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Roman"/>
      <w:lvlText w:val="%2."/>
      <w:lvlJc w:val="righ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2CC427EC"/>
    <w:multiLevelType w:val="hybridMultilevel"/>
    <w:tmpl w:val="2DBAA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CC18AF"/>
    <w:multiLevelType w:val="multilevel"/>
    <w:tmpl w:val="54247E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3C840DE"/>
    <w:multiLevelType w:val="hybridMultilevel"/>
    <w:tmpl w:val="8CE83F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560F6F"/>
    <w:multiLevelType w:val="multilevel"/>
    <w:tmpl w:val="98DA7B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Roman"/>
      <w:lvlText w:val="%2."/>
      <w:lvlJc w:val="righ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C5B337B"/>
    <w:multiLevelType w:val="hybridMultilevel"/>
    <w:tmpl w:val="4EFED1DE"/>
    <w:lvl w:ilvl="0" w:tplc="CA4EB25E">
      <w:start w:val="1"/>
      <w:numFmt w:val="decimal"/>
      <w:lvlText w:val="%1."/>
      <w:lvlJc w:val="left"/>
      <w:pPr>
        <w:tabs>
          <w:tab w:val="num" w:pos="720"/>
        </w:tabs>
        <w:ind w:left="720" w:hanging="360"/>
      </w:pPr>
    </w:lvl>
    <w:lvl w:ilvl="1" w:tplc="338ABEBE">
      <w:start w:val="1"/>
      <w:numFmt w:val="decimal"/>
      <w:lvlText w:val="%2."/>
      <w:lvlJc w:val="left"/>
      <w:pPr>
        <w:tabs>
          <w:tab w:val="num" w:pos="1440"/>
        </w:tabs>
        <w:ind w:left="1440" w:hanging="360"/>
      </w:pPr>
    </w:lvl>
    <w:lvl w:ilvl="2" w:tplc="05C01A58">
      <w:start w:val="1"/>
      <w:numFmt w:val="decimal"/>
      <w:lvlText w:val="%3."/>
      <w:lvlJc w:val="left"/>
      <w:pPr>
        <w:tabs>
          <w:tab w:val="num" w:pos="2160"/>
        </w:tabs>
        <w:ind w:left="2160" w:hanging="360"/>
      </w:pPr>
    </w:lvl>
    <w:lvl w:ilvl="3" w:tplc="2C4CCB12">
      <w:start w:val="212"/>
      <w:numFmt w:val="bullet"/>
      <w:lvlText w:val="▪"/>
      <w:lvlJc w:val="left"/>
      <w:pPr>
        <w:tabs>
          <w:tab w:val="num" w:pos="2880"/>
        </w:tabs>
        <w:ind w:left="2880" w:hanging="360"/>
      </w:pPr>
      <w:rPr>
        <w:rFonts w:ascii="Arial" w:hAnsi="Arial" w:hint="default"/>
      </w:rPr>
    </w:lvl>
    <w:lvl w:ilvl="4" w:tplc="E4C2A902" w:tentative="1">
      <w:start w:val="1"/>
      <w:numFmt w:val="decimal"/>
      <w:lvlText w:val="%5."/>
      <w:lvlJc w:val="left"/>
      <w:pPr>
        <w:tabs>
          <w:tab w:val="num" w:pos="3600"/>
        </w:tabs>
        <w:ind w:left="3600" w:hanging="360"/>
      </w:pPr>
    </w:lvl>
    <w:lvl w:ilvl="5" w:tplc="38C43272" w:tentative="1">
      <w:start w:val="1"/>
      <w:numFmt w:val="decimal"/>
      <w:lvlText w:val="%6."/>
      <w:lvlJc w:val="left"/>
      <w:pPr>
        <w:tabs>
          <w:tab w:val="num" w:pos="4320"/>
        </w:tabs>
        <w:ind w:left="4320" w:hanging="360"/>
      </w:pPr>
    </w:lvl>
    <w:lvl w:ilvl="6" w:tplc="AEBE298C" w:tentative="1">
      <w:start w:val="1"/>
      <w:numFmt w:val="decimal"/>
      <w:lvlText w:val="%7."/>
      <w:lvlJc w:val="left"/>
      <w:pPr>
        <w:tabs>
          <w:tab w:val="num" w:pos="5040"/>
        </w:tabs>
        <w:ind w:left="5040" w:hanging="360"/>
      </w:pPr>
    </w:lvl>
    <w:lvl w:ilvl="7" w:tplc="5B9CFE4C" w:tentative="1">
      <w:start w:val="1"/>
      <w:numFmt w:val="decimal"/>
      <w:lvlText w:val="%8."/>
      <w:lvlJc w:val="left"/>
      <w:pPr>
        <w:tabs>
          <w:tab w:val="num" w:pos="5760"/>
        </w:tabs>
        <w:ind w:left="5760" w:hanging="360"/>
      </w:pPr>
    </w:lvl>
    <w:lvl w:ilvl="8" w:tplc="6F687EF4" w:tentative="1">
      <w:start w:val="1"/>
      <w:numFmt w:val="decimal"/>
      <w:lvlText w:val="%9."/>
      <w:lvlJc w:val="left"/>
      <w:pPr>
        <w:tabs>
          <w:tab w:val="num" w:pos="6480"/>
        </w:tabs>
        <w:ind w:left="6480" w:hanging="360"/>
      </w:pPr>
    </w:lvl>
  </w:abstractNum>
  <w:abstractNum w:abstractNumId="28" w15:restartNumberingAfterBreak="0">
    <w:nsid w:val="3F084F25"/>
    <w:multiLevelType w:val="multilevel"/>
    <w:tmpl w:val="274A9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09132EC"/>
    <w:multiLevelType w:val="hybridMultilevel"/>
    <w:tmpl w:val="948A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AE1E6C"/>
    <w:multiLevelType w:val="hybridMultilevel"/>
    <w:tmpl w:val="DC66AE58"/>
    <w:lvl w:ilvl="0" w:tplc="6BEC953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984C40"/>
    <w:multiLevelType w:val="hybridMultilevel"/>
    <w:tmpl w:val="0DBA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CF0791"/>
    <w:multiLevelType w:val="multilevel"/>
    <w:tmpl w:val="61E047C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537152A"/>
    <w:multiLevelType w:val="multilevel"/>
    <w:tmpl w:val="67AA7490"/>
    <w:lvl w:ilvl="0">
      <w:start w:val="1"/>
      <w:numFmt w:val="decimal"/>
      <w:lvlText w:val="%1."/>
      <w:lvlJc w:val="left"/>
      <w:pPr>
        <w:ind w:left="720" w:hanging="360"/>
      </w:pPr>
      <w:rPr>
        <w:sz w:val="20"/>
        <w:szCs w:val="20"/>
      </w:rPr>
    </w:lvl>
    <w:lvl w:ilvl="1">
      <w:start w:val="1"/>
      <w:numFmt w:val="lowerRoman"/>
      <w:lvlText w:val="%2."/>
      <w:lvlJc w:val="righ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09F1A4C"/>
    <w:multiLevelType w:val="hybridMultilevel"/>
    <w:tmpl w:val="071AD92A"/>
    <w:lvl w:ilvl="0" w:tplc="A278888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3A3813"/>
    <w:multiLevelType w:val="multilevel"/>
    <w:tmpl w:val="905482E8"/>
    <w:lvl w:ilvl="0">
      <w:start w:val="1"/>
      <w:numFmt w:val="decimal"/>
      <w:lvlText w:val="%1"/>
      <w:lvlJc w:val="left"/>
      <w:pPr>
        <w:ind w:left="432" w:hanging="432"/>
      </w:pPr>
    </w:lvl>
    <w:lvl w:ilvl="1">
      <w:start w:val="1"/>
      <w:numFmt w:val="decimal"/>
      <w:lvlText w:val="%1.%2"/>
      <w:lvlJc w:val="left"/>
      <w:pPr>
        <w:ind w:left="128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7937C4D"/>
    <w:multiLevelType w:val="multilevel"/>
    <w:tmpl w:val="B450F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7940825"/>
    <w:multiLevelType w:val="hybridMultilevel"/>
    <w:tmpl w:val="6E1A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271080"/>
    <w:multiLevelType w:val="hybridMultilevel"/>
    <w:tmpl w:val="54162A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5A6109A5"/>
    <w:multiLevelType w:val="multilevel"/>
    <w:tmpl w:val="64B00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CF204EE"/>
    <w:multiLevelType w:val="multilevel"/>
    <w:tmpl w:val="BD422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Roman"/>
      <w:lvlText w:val="%2."/>
      <w:lvlJc w:val="righ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5CF60BB6"/>
    <w:multiLevelType w:val="hybridMultilevel"/>
    <w:tmpl w:val="CB6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456BED"/>
    <w:multiLevelType w:val="multilevel"/>
    <w:tmpl w:val="5688071A"/>
    <w:lvl w:ilvl="0">
      <w:start w:val="3"/>
      <w:numFmt w:val="bullet"/>
      <w:lvlText w:val="-"/>
      <w:lvlJc w:val="left"/>
      <w:pPr>
        <w:ind w:left="720" w:hanging="360"/>
      </w:pPr>
      <w:rPr>
        <w:rFonts w:ascii="Balthazar" w:eastAsia="Balthazar" w:hAnsi="Balthazar" w:cs="Balthaza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EFC2880"/>
    <w:multiLevelType w:val="multilevel"/>
    <w:tmpl w:val="E4703DD0"/>
    <w:lvl w:ilvl="0">
      <w:start w:val="1"/>
      <w:numFmt w:val="lowerRoman"/>
      <w:lvlText w:val="%1."/>
      <w:lvlJc w:val="right"/>
      <w:pPr>
        <w:ind w:left="720" w:hanging="360"/>
      </w:pPr>
      <w:rPr>
        <w:sz w:val="20"/>
        <w:szCs w:val="20"/>
      </w:rPr>
    </w:lvl>
    <w:lvl w:ilvl="1">
      <w:start w:val="1"/>
      <w:numFmt w:val="lowerRoman"/>
      <w:lvlText w:val="%2."/>
      <w:lvlJc w:val="righ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06D0E63"/>
    <w:multiLevelType w:val="multilevel"/>
    <w:tmpl w:val="4DD43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Roman"/>
      <w:lvlText w:val="%2."/>
      <w:lvlJc w:val="righ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60C06857"/>
    <w:multiLevelType w:val="hybridMultilevel"/>
    <w:tmpl w:val="331C37A2"/>
    <w:lvl w:ilvl="0" w:tplc="A2788884">
      <w:start w:val="1"/>
      <w:numFmt w:val="decimal"/>
      <w:lvlText w:val="%1.1"/>
      <w:lvlJc w:val="left"/>
      <w:pPr>
        <w:ind w:left="360" w:hanging="360"/>
      </w:pPr>
      <w:rPr>
        <w:rFonts w:hint="default"/>
      </w:rPr>
    </w:lvl>
    <w:lvl w:ilvl="1" w:tplc="A2788884">
      <w:start w:val="1"/>
      <w:numFmt w:val="decimal"/>
      <w:lvlText w:val="%2.1"/>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6" w15:restartNumberingAfterBreak="0">
    <w:nsid w:val="60EC097C"/>
    <w:multiLevelType w:val="multilevel"/>
    <w:tmpl w:val="16A2C804"/>
    <w:lvl w:ilvl="0">
      <w:start w:val="1"/>
      <w:numFmt w:val="lowerRoman"/>
      <w:lvlText w:val="%1."/>
      <w:lvlJc w:val="right"/>
      <w:pPr>
        <w:ind w:left="720" w:hanging="360"/>
      </w:pPr>
      <w:rPr>
        <w:sz w:val="20"/>
        <w:szCs w:val="20"/>
      </w:rPr>
    </w:lvl>
    <w:lvl w:ilvl="1">
      <w:start w:val="1"/>
      <w:numFmt w:val="lowerRoman"/>
      <w:lvlText w:val="%2."/>
      <w:lvlJc w:val="righ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627B5D6D"/>
    <w:multiLevelType w:val="hybridMultilevel"/>
    <w:tmpl w:val="B858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E35272"/>
    <w:multiLevelType w:val="hybridMultilevel"/>
    <w:tmpl w:val="281C0C62"/>
    <w:lvl w:ilvl="0" w:tplc="A2788884">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AB7437"/>
    <w:multiLevelType w:val="hybridMultilevel"/>
    <w:tmpl w:val="F298483E"/>
    <w:lvl w:ilvl="0" w:tplc="75EE9B8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71154A5"/>
    <w:multiLevelType w:val="hybridMultilevel"/>
    <w:tmpl w:val="FCD05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8DB7291"/>
    <w:multiLevelType w:val="multilevel"/>
    <w:tmpl w:val="0634760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D2C0C58"/>
    <w:multiLevelType w:val="hybridMultilevel"/>
    <w:tmpl w:val="8730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EB2F8D"/>
    <w:multiLevelType w:val="multilevel"/>
    <w:tmpl w:val="16EE2D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6E806B24"/>
    <w:multiLevelType w:val="multilevel"/>
    <w:tmpl w:val="26F4E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70194B40"/>
    <w:multiLevelType w:val="multilevel"/>
    <w:tmpl w:val="3DCAE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1F8107B"/>
    <w:multiLevelType w:val="hybridMultilevel"/>
    <w:tmpl w:val="CE202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6F2CDF"/>
    <w:multiLevelType w:val="hybridMultilevel"/>
    <w:tmpl w:val="26E2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EB3622"/>
    <w:multiLevelType w:val="multilevel"/>
    <w:tmpl w:val="C7382F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Roman"/>
      <w:lvlText w:val="%2."/>
      <w:lvlJc w:val="righ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783A0CCF"/>
    <w:multiLevelType w:val="hybridMultilevel"/>
    <w:tmpl w:val="0F36DE4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0" w15:restartNumberingAfterBreak="0">
    <w:nsid w:val="793241DC"/>
    <w:multiLevelType w:val="multilevel"/>
    <w:tmpl w:val="A7747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B5C552A"/>
    <w:multiLevelType w:val="hybridMultilevel"/>
    <w:tmpl w:val="DE02802E"/>
    <w:lvl w:ilvl="0" w:tplc="A278888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341939"/>
    <w:multiLevelType w:val="hybridMultilevel"/>
    <w:tmpl w:val="398072C0"/>
    <w:lvl w:ilvl="0" w:tplc="EC04D6F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B17204"/>
    <w:multiLevelType w:val="hybridMultilevel"/>
    <w:tmpl w:val="94761A1C"/>
    <w:lvl w:ilvl="0" w:tplc="C220C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3"/>
  </w:num>
  <w:num w:numId="3">
    <w:abstractNumId w:val="44"/>
  </w:num>
  <w:num w:numId="4">
    <w:abstractNumId w:val="39"/>
  </w:num>
  <w:num w:numId="5">
    <w:abstractNumId w:val="54"/>
  </w:num>
  <w:num w:numId="6">
    <w:abstractNumId w:val="2"/>
  </w:num>
  <w:num w:numId="7">
    <w:abstractNumId w:val="58"/>
  </w:num>
  <w:num w:numId="8">
    <w:abstractNumId w:val="35"/>
  </w:num>
  <w:num w:numId="9">
    <w:abstractNumId w:val="24"/>
  </w:num>
  <w:num w:numId="10">
    <w:abstractNumId w:val="26"/>
  </w:num>
  <w:num w:numId="11">
    <w:abstractNumId w:val="18"/>
  </w:num>
  <w:num w:numId="12">
    <w:abstractNumId w:val="0"/>
  </w:num>
  <w:num w:numId="13">
    <w:abstractNumId w:val="15"/>
  </w:num>
  <w:num w:numId="14">
    <w:abstractNumId w:val="33"/>
  </w:num>
  <w:num w:numId="15">
    <w:abstractNumId w:val="22"/>
  </w:num>
  <w:num w:numId="16">
    <w:abstractNumId w:val="28"/>
  </w:num>
  <w:num w:numId="17">
    <w:abstractNumId w:val="40"/>
  </w:num>
  <w:num w:numId="18">
    <w:abstractNumId w:val="36"/>
  </w:num>
  <w:num w:numId="19">
    <w:abstractNumId w:val="49"/>
  </w:num>
  <w:num w:numId="20">
    <w:abstractNumId w:val="48"/>
  </w:num>
  <w:num w:numId="21">
    <w:abstractNumId w:val="45"/>
  </w:num>
  <w:num w:numId="22">
    <w:abstractNumId w:val="61"/>
  </w:num>
  <w:num w:numId="23">
    <w:abstractNumId w:val="9"/>
  </w:num>
  <w:num w:numId="24">
    <w:abstractNumId w:val="34"/>
  </w:num>
  <w:num w:numId="25">
    <w:abstractNumId w:val="62"/>
  </w:num>
  <w:num w:numId="26">
    <w:abstractNumId w:val="62"/>
    <w:lvlOverride w:ilvl="0">
      <w:startOverride w:val="4"/>
    </w:lvlOverride>
  </w:num>
  <w:num w:numId="27">
    <w:abstractNumId w:val="11"/>
  </w:num>
  <w:num w:numId="28">
    <w:abstractNumId w:val="30"/>
  </w:num>
  <w:num w:numId="29">
    <w:abstractNumId w:val="30"/>
    <w:lvlOverride w:ilvl="0">
      <w:startOverride w:val="3"/>
    </w:lvlOverride>
  </w:num>
  <w:num w:numId="30">
    <w:abstractNumId w:val="14"/>
  </w:num>
  <w:num w:numId="31">
    <w:abstractNumId w:val="30"/>
  </w:num>
  <w:num w:numId="32">
    <w:abstractNumId w:val="30"/>
    <w:lvlOverride w:ilvl="0">
      <w:startOverride w:val="3"/>
    </w:lvlOverride>
  </w:num>
  <w:num w:numId="33">
    <w:abstractNumId w:val="30"/>
    <w:lvlOverride w:ilvl="0">
      <w:startOverride w:val="3"/>
    </w:lvlOverride>
  </w:num>
  <w:num w:numId="34">
    <w:abstractNumId w:val="32"/>
  </w:num>
  <w:num w:numId="35">
    <w:abstractNumId w:val="19"/>
  </w:num>
  <w:num w:numId="36">
    <w:abstractNumId w:val="51"/>
  </w:num>
  <w:num w:numId="37">
    <w:abstractNumId w:val="5"/>
  </w:num>
  <w:num w:numId="38">
    <w:abstractNumId w:val="53"/>
  </w:num>
  <w:num w:numId="39">
    <w:abstractNumId w:val="13"/>
  </w:num>
  <w:num w:numId="40">
    <w:abstractNumId w:val="6"/>
  </w:num>
  <w:num w:numId="41">
    <w:abstractNumId w:val="16"/>
  </w:num>
  <w:num w:numId="42">
    <w:abstractNumId w:val="13"/>
  </w:num>
  <w:num w:numId="43">
    <w:abstractNumId w:val="13"/>
  </w:num>
  <w:num w:numId="44">
    <w:abstractNumId w:val="1"/>
  </w:num>
  <w:num w:numId="45">
    <w:abstractNumId w:val="13"/>
  </w:num>
  <w:num w:numId="46">
    <w:abstractNumId w:val="13"/>
  </w:num>
  <w:num w:numId="47">
    <w:abstractNumId w:val="13"/>
  </w:num>
  <w:num w:numId="48">
    <w:abstractNumId w:val="7"/>
  </w:num>
  <w:num w:numId="49">
    <w:abstractNumId w:val="52"/>
  </w:num>
  <w:num w:numId="50">
    <w:abstractNumId w:val="47"/>
  </w:num>
  <w:num w:numId="51">
    <w:abstractNumId w:val="23"/>
  </w:num>
  <w:num w:numId="52">
    <w:abstractNumId w:val="57"/>
  </w:num>
  <w:num w:numId="53">
    <w:abstractNumId w:val="60"/>
  </w:num>
  <w:num w:numId="54">
    <w:abstractNumId w:val="42"/>
  </w:num>
  <w:num w:numId="55">
    <w:abstractNumId w:val="55"/>
  </w:num>
  <w:num w:numId="56">
    <w:abstractNumId w:val="37"/>
  </w:num>
  <w:num w:numId="57">
    <w:abstractNumId w:val="21"/>
  </w:num>
  <w:num w:numId="58">
    <w:abstractNumId w:val="38"/>
  </w:num>
  <w:num w:numId="59">
    <w:abstractNumId w:val="59"/>
  </w:num>
  <w:num w:numId="60">
    <w:abstractNumId w:val="50"/>
  </w:num>
  <w:num w:numId="61">
    <w:abstractNumId w:val="3"/>
  </w:num>
  <w:num w:numId="62">
    <w:abstractNumId w:val="10"/>
  </w:num>
  <w:num w:numId="63">
    <w:abstractNumId w:val="29"/>
  </w:num>
  <w:num w:numId="64">
    <w:abstractNumId w:val="31"/>
  </w:num>
  <w:num w:numId="65">
    <w:abstractNumId w:val="12"/>
  </w:num>
  <w:num w:numId="66">
    <w:abstractNumId w:val="4"/>
  </w:num>
  <w:num w:numId="67">
    <w:abstractNumId w:val="25"/>
  </w:num>
  <w:num w:numId="68">
    <w:abstractNumId w:val="63"/>
  </w:num>
  <w:num w:numId="69">
    <w:abstractNumId w:val="20"/>
  </w:num>
  <w:num w:numId="70">
    <w:abstractNumId w:val="27"/>
  </w:num>
  <w:num w:numId="71">
    <w:abstractNumId w:val="8"/>
  </w:num>
  <w:num w:numId="72">
    <w:abstractNumId w:val="17"/>
  </w:num>
  <w:num w:numId="73">
    <w:abstractNumId w:val="56"/>
  </w:num>
  <w:num w:numId="74">
    <w:abstractNumId w:val="13"/>
  </w:num>
  <w:num w:numId="75">
    <w:abstractNumId w:val="13"/>
  </w:num>
  <w:num w:numId="76">
    <w:abstractNumId w:val="13"/>
  </w:num>
  <w:num w:numId="77">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6B"/>
    <w:rsid w:val="00021292"/>
    <w:rsid w:val="00021A2D"/>
    <w:rsid w:val="00051D65"/>
    <w:rsid w:val="00063AC4"/>
    <w:rsid w:val="0007039E"/>
    <w:rsid w:val="00096BCA"/>
    <w:rsid w:val="000978AC"/>
    <w:rsid w:val="000C51EB"/>
    <w:rsid w:val="000C58A3"/>
    <w:rsid w:val="000E5CE2"/>
    <w:rsid w:val="0015551D"/>
    <w:rsid w:val="001603AD"/>
    <w:rsid w:val="00162B0E"/>
    <w:rsid w:val="0016730D"/>
    <w:rsid w:val="0017435D"/>
    <w:rsid w:val="00174C52"/>
    <w:rsid w:val="001952C7"/>
    <w:rsid w:val="001A30D7"/>
    <w:rsid w:val="001A71D4"/>
    <w:rsid w:val="001D304D"/>
    <w:rsid w:val="001F5D6D"/>
    <w:rsid w:val="001F68AC"/>
    <w:rsid w:val="00202C49"/>
    <w:rsid w:val="002114EA"/>
    <w:rsid w:val="00211C24"/>
    <w:rsid w:val="00215EC9"/>
    <w:rsid w:val="00227104"/>
    <w:rsid w:val="00264237"/>
    <w:rsid w:val="00274E23"/>
    <w:rsid w:val="002810A3"/>
    <w:rsid w:val="00287065"/>
    <w:rsid w:val="00287EB0"/>
    <w:rsid w:val="0029632C"/>
    <w:rsid w:val="002A25B4"/>
    <w:rsid w:val="002A7639"/>
    <w:rsid w:val="002B31F6"/>
    <w:rsid w:val="002C723C"/>
    <w:rsid w:val="002D6E31"/>
    <w:rsid w:val="002E21B3"/>
    <w:rsid w:val="00300009"/>
    <w:rsid w:val="003067F0"/>
    <w:rsid w:val="00330A6B"/>
    <w:rsid w:val="00345366"/>
    <w:rsid w:val="00353006"/>
    <w:rsid w:val="00382B34"/>
    <w:rsid w:val="0039712E"/>
    <w:rsid w:val="003C5E79"/>
    <w:rsid w:val="003C67AA"/>
    <w:rsid w:val="003D217B"/>
    <w:rsid w:val="003E0C3C"/>
    <w:rsid w:val="003E46BA"/>
    <w:rsid w:val="00400778"/>
    <w:rsid w:val="00401895"/>
    <w:rsid w:val="0040568B"/>
    <w:rsid w:val="00414D57"/>
    <w:rsid w:val="00450ECA"/>
    <w:rsid w:val="00451F79"/>
    <w:rsid w:val="00453CFF"/>
    <w:rsid w:val="00467E56"/>
    <w:rsid w:val="00491DDF"/>
    <w:rsid w:val="0049670B"/>
    <w:rsid w:val="004B26AD"/>
    <w:rsid w:val="004E2528"/>
    <w:rsid w:val="004E3CE6"/>
    <w:rsid w:val="004F25D7"/>
    <w:rsid w:val="00544AFF"/>
    <w:rsid w:val="00550ADB"/>
    <w:rsid w:val="00582584"/>
    <w:rsid w:val="00582A02"/>
    <w:rsid w:val="005A64CB"/>
    <w:rsid w:val="005A738A"/>
    <w:rsid w:val="005D4624"/>
    <w:rsid w:val="00607EB3"/>
    <w:rsid w:val="00622A67"/>
    <w:rsid w:val="00636D30"/>
    <w:rsid w:val="00653450"/>
    <w:rsid w:val="006549EC"/>
    <w:rsid w:val="00657E23"/>
    <w:rsid w:val="0066160A"/>
    <w:rsid w:val="006669FD"/>
    <w:rsid w:val="0066706F"/>
    <w:rsid w:val="00670988"/>
    <w:rsid w:val="006B0A7A"/>
    <w:rsid w:val="006C6610"/>
    <w:rsid w:val="006D067E"/>
    <w:rsid w:val="006D2295"/>
    <w:rsid w:val="006F33B6"/>
    <w:rsid w:val="0070356B"/>
    <w:rsid w:val="007035CB"/>
    <w:rsid w:val="007058CC"/>
    <w:rsid w:val="00714858"/>
    <w:rsid w:val="0071779B"/>
    <w:rsid w:val="007234A9"/>
    <w:rsid w:val="00737052"/>
    <w:rsid w:val="0074749B"/>
    <w:rsid w:val="00752533"/>
    <w:rsid w:val="00753993"/>
    <w:rsid w:val="00762EBD"/>
    <w:rsid w:val="00763F50"/>
    <w:rsid w:val="00780560"/>
    <w:rsid w:val="007F4FB4"/>
    <w:rsid w:val="0080462B"/>
    <w:rsid w:val="008209D6"/>
    <w:rsid w:val="00835C0B"/>
    <w:rsid w:val="008405FC"/>
    <w:rsid w:val="00864565"/>
    <w:rsid w:val="0087521B"/>
    <w:rsid w:val="008767E4"/>
    <w:rsid w:val="00883523"/>
    <w:rsid w:val="00885D58"/>
    <w:rsid w:val="008952C8"/>
    <w:rsid w:val="008D0CE2"/>
    <w:rsid w:val="008D1794"/>
    <w:rsid w:val="008E0AD4"/>
    <w:rsid w:val="008E72D7"/>
    <w:rsid w:val="0096770B"/>
    <w:rsid w:val="00970DCC"/>
    <w:rsid w:val="00986464"/>
    <w:rsid w:val="0098667A"/>
    <w:rsid w:val="00993DEC"/>
    <w:rsid w:val="009C1F42"/>
    <w:rsid w:val="009C28AE"/>
    <w:rsid w:val="00A23959"/>
    <w:rsid w:val="00A24B6D"/>
    <w:rsid w:val="00A278A4"/>
    <w:rsid w:val="00A31BBD"/>
    <w:rsid w:val="00A350A8"/>
    <w:rsid w:val="00A523AC"/>
    <w:rsid w:val="00AA7219"/>
    <w:rsid w:val="00AC47BF"/>
    <w:rsid w:val="00B05BA6"/>
    <w:rsid w:val="00B138F1"/>
    <w:rsid w:val="00B31849"/>
    <w:rsid w:val="00B73594"/>
    <w:rsid w:val="00BA26C3"/>
    <w:rsid w:val="00BB1FA5"/>
    <w:rsid w:val="00BC6CEE"/>
    <w:rsid w:val="00C12B5B"/>
    <w:rsid w:val="00C155B6"/>
    <w:rsid w:val="00C42653"/>
    <w:rsid w:val="00C52DE1"/>
    <w:rsid w:val="00C6416C"/>
    <w:rsid w:val="00C73325"/>
    <w:rsid w:val="00C87C67"/>
    <w:rsid w:val="00C92E0B"/>
    <w:rsid w:val="00CA2CDF"/>
    <w:rsid w:val="00CA39D7"/>
    <w:rsid w:val="00CB2C61"/>
    <w:rsid w:val="00CD6C6F"/>
    <w:rsid w:val="00CF6F01"/>
    <w:rsid w:val="00D03A93"/>
    <w:rsid w:val="00D04E49"/>
    <w:rsid w:val="00D52B7E"/>
    <w:rsid w:val="00D60E7D"/>
    <w:rsid w:val="00D66B36"/>
    <w:rsid w:val="00D67F31"/>
    <w:rsid w:val="00DA02D4"/>
    <w:rsid w:val="00DC3011"/>
    <w:rsid w:val="00DE11D1"/>
    <w:rsid w:val="00DE34ED"/>
    <w:rsid w:val="00E27DD3"/>
    <w:rsid w:val="00E52916"/>
    <w:rsid w:val="00E544D3"/>
    <w:rsid w:val="00E76100"/>
    <w:rsid w:val="00E773FE"/>
    <w:rsid w:val="00E77CDB"/>
    <w:rsid w:val="00E96797"/>
    <w:rsid w:val="00EA692D"/>
    <w:rsid w:val="00EA7D7F"/>
    <w:rsid w:val="00EB4345"/>
    <w:rsid w:val="00ED481F"/>
    <w:rsid w:val="00ED72E3"/>
    <w:rsid w:val="00EE503E"/>
    <w:rsid w:val="00EF630C"/>
    <w:rsid w:val="00F02196"/>
    <w:rsid w:val="00F14F1F"/>
    <w:rsid w:val="00F630EC"/>
    <w:rsid w:val="00FB65E2"/>
    <w:rsid w:val="00FB72F2"/>
    <w:rsid w:val="00FB7521"/>
    <w:rsid w:val="00FC4003"/>
    <w:rsid w:val="00FD59C9"/>
    <w:rsid w:val="00FF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69FD"/>
  <w15:docId w15:val="{33DEE70E-50E9-47EC-BB69-B8BEA4E6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1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5D58"/>
  </w:style>
  <w:style w:type="paragraph" w:styleId="Heading1">
    <w:name w:val="heading 1"/>
    <w:basedOn w:val="Normal"/>
    <w:next w:val="Normal"/>
    <w:qFormat/>
    <w:rsid w:val="00EB4345"/>
    <w:pPr>
      <w:keepNext/>
      <w:keepLines/>
      <w:numPr>
        <w:numId w:val="39"/>
      </w:numPr>
      <w:spacing w:before="240" w:after="240"/>
      <w:outlineLvl w:val="0"/>
    </w:pPr>
    <w:rPr>
      <w:b/>
      <w:color w:val="2E75B5"/>
      <w:sz w:val="28"/>
      <w:szCs w:val="28"/>
    </w:rPr>
  </w:style>
  <w:style w:type="paragraph" w:styleId="Heading2">
    <w:name w:val="heading 2"/>
    <w:basedOn w:val="Normal"/>
    <w:next w:val="Normal"/>
    <w:qFormat/>
    <w:rsid w:val="0040568B"/>
    <w:pPr>
      <w:keepNext/>
      <w:keepLines/>
      <w:numPr>
        <w:ilvl w:val="1"/>
        <w:numId w:val="39"/>
      </w:numPr>
      <w:spacing w:before="40" w:after="0"/>
      <w:outlineLvl w:val="1"/>
    </w:pPr>
    <w:rPr>
      <w:color w:val="2E75B5"/>
      <w:sz w:val="26"/>
      <w:szCs w:val="26"/>
    </w:rPr>
  </w:style>
  <w:style w:type="paragraph" w:styleId="Heading3">
    <w:name w:val="heading 3"/>
    <w:basedOn w:val="Normal"/>
    <w:next w:val="Normal"/>
    <w:pPr>
      <w:keepNext/>
      <w:keepLines/>
      <w:numPr>
        <w:ilvl w:val="2"/>
        <w:numId w:val="39"/>
      </w:numPr>
      <w:spacing w:before="40" w:after="0"/>
      <w:outlineLvl w:val="2"/>
    </w:pPr>
    <w:rPr>
      <w:color w:val="1E4D78"/>
      <w:sz w:val="24"/>
      <w:szCs w:val="24"/>
    </w:rPr>
  </w:style>
  <w:style w:type="paragraph" w:styleId="Heading4">
    <w:name w:val="heading 4"/>
    <w:basedOn w:val="Normal"/>
    <w:next w:val="Normal"/>
    <w:pPr>
      <w:keepNext/>
      <w:keepLines/>
      <w:numPr>
        <w:ilvl w:val="3"/>
        <w:numId w:val="39"/>
      </w:numPr>
      <w:spacing w:before="40" w:after="0"/>
      <w:outlineLvl w:val="3"/>
    </w:pPr>
    <w:rPr>
      <w:i/>
      <w:color w:val="2E75B5"/>
    </w:rPr>
  </w:style>
  <w:style w:type="paragraph" w:styleId="Heading5">
    <w:name w:val="heading 5"/>
    <w:basedOn w:val="Normal"/>
    <w:next w:val="Normal"/>
    <w:pPr>
      <w:keepNext/>
      <w:keepLines/>
      <w:numPr>
        <w:ilvl w:val="4"/>
        <w:numId w:val="39"/>
      </w:numPr>
      <w:spacing w:before="40" w:after="0"/>
      <w:outlineLvl w:val="4"/>
    </w:pPr>
    <w:rPr>
      <w:color w:val="2E75B5"/>
    </w:rPr>
  </w:style>
  <w:style w:type="paragraph" w:styleId="Heading6">
    <w:name w:val="heading 6"/>
    <w:basedOn w:val="Normal"/>
    <w:next w:val="Normal"/>
    <w:pPr>
      <w:keepNext/>
      <w:keepLines/>
      <w:numPr>
        <w:ilvl w:val="5"/>
        <w:numId w:val="39"/>
      </w:numPr>
      <w:spacing w:before="40" w:after="0"/>
      <w:outlineLvl w:val="5"/>
    </w:pPr>
    <w:rPr>
      <w:color w:val="1E4D78"/>
    </w:rPr>
  </w:style>
  <w:style w:type="paragraph" w:styleId="Heading7">
    <w:name w:val="heading 7"/>
    <w:basedOn w:val="Normal"/>
    <w:next w:val="Normal"/>
    <w:link w:val="Heading7Char"/>
    <w:uiPriority w:val="9"/>
    <w:semiHidden/>
    <w:unhideWhenUsed/>
    <w:qFormat/>
    <w:rsid w:val="001F5D6D"/>
    <w:pPr>
      <w:keepNext/>
      <w:keepLines/>
      <w:numPr>
        <w:ilvl w:val="6"/>
        <w:numId w:val="3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0568B"/>
    <w:pPr>
      <w:keepNext/>
      <w:keepLines/>
      <w:numPr>
        <w:ilvl w:val="7"/>
        <w:numId w:val="3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568B"/>
    <w:pPr>
      <w:keepNext/>
      <w:keepLines/>
      <w:numPr>
        <w:ilvl w:val="8"/>
        <w:numId w:val="3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semiHidden/>
    <w:rsid w:val="001F5D6D"/>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1D30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04D"/>
    <w:rPr>
      <w:rFonts w:ascii="Segoe UI" w:hAnsi="Segoe UI" w:cs="Segoe UI"/>
      <w:sz w:val="18"/>
      <w:szCs w:val="18"/>
    </w:rPr>
  </w:style>
  <w:style w:type="paragraph" w:styleId="ListParagraph">
    <w:name w:val="List Paragraph"/>
    <w:basedOn w:val="Normal"/>
    <w:uiPriority w:val="34"/>
    <w:qFormat/>
    <w:rsid w:val="00550ADB"/>
    <w:pPr>
      <w:ind w:left="720"/>
      <w:contextualSpacing/>
    </w:pPr>
  </w:style>
  <w:style w:type="character" w:customStyle="1" w:styleId="Heading8Char">
    <w:name w:val="Heading 8 Char"/>
    <w:basedOn w:val="DefaultParagraphFont"/>
    <w:link w:val="Heading8"/>
    <w:uiPriority w:val="9"/>
    <w:semiHidden/>
    <w:rsid w:val="004056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568B"/>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40568B"/>
    <w:pPr>
      <w:numPr>
        <w:numId w:val="40"/>
      </w:numPr>
    </w:pPr>
  </w:style>
  <w:style w:type="paragraph" w:styleId="TOC1">
    <w:name w:val="toc 1"/>
    <w:basedOn w:val="Normal"/>
    <w:next w:val="Normal"/>
    <w:autoRedefine/>
    <w:uiPriority w:val="39"/>
    <w:unhideWhenUsed/>
    <w:rsid w:val="00C92E0B"/>
    <w:pPr>
      <w:spacing w:after="100"/>
    </w:pPr>
  </w:style>
  <w:style w:type="paragraph" w:styleId="TOC2">
    <w:name w:val="toc 2"/>
    <w:basedOn w:val="Normal"/>
    <w:next w:val="Normal"/>
    <w:autoRedefine/>
    <w:uiPriority w:val="39"/>
    <w:unhideWhenUsed/>
    <w:rsid w:val="00C92E0B"/>
    <w:pPr>
      <w:spacing w:after="100"/>
      <w:ind w:left="220"/>
    </w:pPr>
  </w:style>
  <w:style w:type="character" w:styleId="Hyperlink">
    <w:name w:val="Hyperlink"/>
    <w:basedOn w:val="DefaultParagraphFont"/>
    <w:uiPriority w:val="99"/>
    <w:unhideWhenUsed/>
    <w:rsid w:val="00C92E0B"/>
    <w:rPr>
      <w:color w:val="0000FF" w:themeColor="hyperlink"/>
      <w:u w:val="single"/>
    </w:rPr>
  </w:style>
  <w:style w:type="character" w:styleId="CommentReference">
    <w:name w:val="annotation reference"/>
    <w:basedOn w:val="DefaultParagraphFont"/>
    <w:uiPriority w:val="99"/>
    <w:semiHidden/>
    <w:unhideWhenUsed/>
    <w:rsid w:val="00835C0B"/>
    <w:rPr>
      <w:sz w:val="16"/>
      <w:szCs w:val="16"/>
    </w:rPr>
  </w:style>
  <w:style w:type="paragraph" w:styleId="CommentText">
    <w:name w:val="annotation text"/>
    <w:basedOn w:val="Normal"/>
    <w:link w:val="CommentTextChar"/>
    <w:uiPriority w:val="99"/>
    <w:semiHidden/>
    <w:unhideWhenUsed/>
    <w:rsid w:val="00835C0B"/>
    <w:rPr>
      <w:sz w:val="20"/>
      <w:szCs w:val="20"/>
    </w:rPr>
  </w:style>
  <w:style w:type="character" w:customStyle="1" w:styleId="CommentTextChar">
    <w:name w:val="Comment Text Char"/>
    <w:basedOn w:val="DefaultParagraphFont"/>
    <w:link w:val="CommentText"/>
    <w:uiPriority w:val="99"/>
    <w:semiHidden/>
    <w:rsid w:val="00835C0B"/>
    <w:rPr>
      <w:sz w:val="20"/>
      <w:szCs w:val="20"/>
    </w:rPr>
  </w:style>
  <w:style w:type="paragraph" w:styleId="CommentSubject">
    <w:name w:val="annotation subject"/>
    <w:basedOn w:val="CommentText"/>
    <w:next w:val="CommentText"/>
    <w:link w:val="CommentSubjectChar"/>
    <w:uiPriority w:val="99"/>
    <w:semiHidden/>
    <w:unhideWhenUsed/>
    <w:rsid w:val="00835C0B"/>
    <w:rPr>
      <w:b/>
      <w:bCs/>
    </w:rPr>
  </w:style>
  <w:style w:type="character" w:customStyle="1" w:styleId="CommentSubjectChar">
    <w:name w:val="Comment Subject Char"/>
    <w:basedOn w:val="CommentTextChar"/>
    <w:link w:val="CommentSubject"/>
    <w:uiPriority w:val="99"/>
    <w:semiHidden/>
    <w:rsid w:val="00835C0B"/>
    <w:rPr>
      <w:b/>
      <w:bCs/>
      <w:sz w:val="20"/>
      <w:szCs w:val="20"/>
    </w:rPr>
  </w:style>
  <w:style w:type="paragraph" w:styleId="EndnoteText">
    <w:name w:val="endnote text"/>
    <w:basedOn w:val="Normal"/>
    <w:link w:val="EndnoteTextChar"/>
    <w:uiPriority w:val="99"/>
    <w:semiHidden/>
    <w:unhideWhenUsed/>
    <w:rsid w:val="002810A3"/>
    <w:pPr>
      <w:spacing w:after="0"/>
    </w:pPr>
    <w:rPr>
      <w:sz w:val="20"/>
      <w:szCs w:val="20"/>
    </w:rPr>
  </w:style>
  <w:style w:type="character" w:customStyle="1" w:styleId="EndnoteTextChar">
    <w:name w:val="Endnote Text Char"/>
    <w:basedOn w:val="DefaultParagraphFont"/>
    <w:link w:val="EndnoteText"/>
    <w:uiPriority w:val="99"/>
    <w:semiHidden/>
    <w:rsid w:val="002810A3"/>
    <w:rPr>
      <w:sz w:val="20"/>
      <w:szCs w:val="20"/>
    </w:rPr>
  </w:style>
  <w:style w:type="character" w:styleId="EndnoteReference">
    <w:name w:val="endnote reference"/>
    <w:basedOn w:val="DefaultParagraphFont"/>
    <w:uiPriority w:val="99"/>
    <w:semiHidden/>
    <w:unhideWhenUsed/>
    <w:rsid w:val="002810A3"/>
    <w:rPr>
      <w:vertAlign w:val="superscript"/>
    </w:rPr>
  </w:style>
  <w:style w:type="paragraph" w:styleId="FootnoteText">
    <w:name w:val="footnote text"/>
    <w:basedOn w:val="Normal"/>
    <w:link w:val="FootnoteTextChar"/>
    <w:uiPriority w:val="99"/>
    <w:semiHidden/>
    <w:unhideWhenUsed/>
    <w:rsid w:val="002810A3"/>
    <w:pPr>
      <w:spacing w:after="0"/>
    </w:pPr>
    <w:rPr>
      <w:sz w:val="20"/>
      <w:szCs w:val="20"/>
    </w:rPr>
  </w:style>
  <w:style w:type="character" w:customStyle="1" w:styleId="FootnoteTextChar">
    <w:name w:val="Footnote Text Char"/>
    <w:basedOn w:val="DefaultParagraphFont"/>
    <w:link w:val="FootnoteText"/>
    <w:uiPriority w:val="99"/>
    <w:semiHidden/>
    <w:rsid w:val="002810A3"/>
    <w:rPr>
      <w:sz w:val="20"/>
      <w:szCs w:val="20"/>
    </w:rPr>
  </w:style>
  <w:style w:type="character" w:styleId="FootnoteReference">
    <w:name w:val="footnote reference"/>
    <w:basedOn w:val="DefaultParagraphFont"/>
    <w:uiPriority w:val="99"/>
    <w:semiHidden/>
    <w:unhideWhenUsed/>
    <w:rsid w:val="002810A3"/>
    <w:rPr>
      <w:vertAlign w:val="superscript"/>
    </w:rPr>
  </w:style>
  <w:style w:type="paragraph" w:styleId="Revision">
    <w:name w:val="Revision"/>
    <w:hidden/>
    <w:uiPriority w:val="99"/>
    <w:semiHidden/>
    <w:rsid w:val="004B26AD"/>
    <w:pPr>
      <w:spacing w:after="0"/>
      <w:jc w:val="left"/>
    </w:pPr>
  </w:style>
  <w:style w:type="character" w:styleId="Strong">
    <w:name w:val="Strong"/>
    <w:basedOn w:val="DefaultParagraphFont"/>
    <w:uiPriority w:val="22"/>
    <w:qFormat/>
    <w:rsid w:val="006B0A7A"/>
    <w:rPr>
      <w:b/>
      <w:bCs/>
    </w:rPr>
  </w:style>
  <w:style w:type="paragraph" w:customStyle="1" w:styleId="Formatvorlage1">
    <w:name w:val="Formatvorlage1"/>
    <w:basedOn w:val="Normal"/>
    <w:rsid w:val="00885D58"/>
  </w:style>
  <w:style w:type="character" w:styleId="Emphasis">
    <w:name w:val="Emphasis"/>
    <w:basedOn w:val="DefaultParagraphFont"/>
    <w:uiPriority w:val="20"/>
    <w:qFormat/>
    <w:rsid w:val="006B0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83120">
      <w:bodyDiv w:val="1"/>
      <w:marLeft w:val="0"/>
      <w:marRight w:val="0"/>
      <w:marTop w:val="0"/>
      <w:marBottom w:val="0"/>
      <w:divBdr>
        <w:top w:val="none" w:sz="0" w:space="0" w:color="auto"/>
        <w:left w:val="none" w:sz="0" w:space="0" w:color="auto"/>
        <w:bottom w:val="none" w:sz="0" w:space="0" w:color="auto"/>
        <w:right w:val="none" w:sz="0" w:space="0" w:color="auto"/>
      </w:divBdr>
      <w:divsChild>
        <w:div w:id="1496534657">
          <w:marLeft w:val="720"/>
          <w:marRight w:val="0"/>
          <w:marTop w:val="100"/>
          <w:marBottom w:val="120"/>
          <w:divBdr>
            <w:top w:val="none" w:sz="0" w:space="0" w:color="auto"/>
            <w:left w:val="none" w:sz="0" w:space="0" w:color="auto"/>
            <w:bottom w:val="none" w:sz="0" w:space="0" w:color="auto"/>
            <w:right w:val="none" w:sz="0" w:space="0" w:color="auto"/>
          </w:divBdr>
        </w:div>
        <w:div w:id="1577740354">
          <w:marLeft w:val="720"/>
          <w:marRight w:val="0"/>
          <w:marTop w:val="100"/>
          <w:marBottom w:val="120"/>
          <w:divBdr>
            <w:top w:val="none" w:sz="0" w:space="0" w:color="auto"/>
            <w:left w:val="none" w:sz="0" w:space="0" w:color="auto"/>
            <w:bottom w:val="none" w:sz="0" w:space="0" w:color="auto"/>
            <w:right w:val="none" w:sz="0" w:space="0" w:color="auto"/>
          </w:divBdr>
        </w:div>
        <w:div w:id="1559970873">
          <w:marLeft w:val="1872"/>
          <w:marRight w:val="0"/>
          <w:marTop w:val="100"/>
          <w:marBottom w:val="120"/>
          <w:divBdr>
            <w:top w:val="none" w:sz="0" w:space="0" w:color="auto"/>
            <w:left w:val="none" w:sz="0" w:space="0" w:color="auto"/>
            <w:bottom w:val="none" w:sz="0" w:space="0" w:color="auto"/>
            <w:right w:val="none" w:sz="0" w:space="0" w:color="auto"/>
          </w:divBdr>
        </w:div>
        <w:div w:id="1447697648">
          <w:marLeft w:val="1872"/>
          <w:marRight w:val="0"/>
          <w:marTop w:val="100"/>
          <w:marBottom w:val="120"/>
          <w:divBdr>
            <w:top w:val="none" w:sz="0" w:space="0" w:color="auto"/>
            <w:left w:val="none" w:sz="0" w:space="0" w:color="auto"/>
            <w:bottom w:val="none" w:sz="0" w:space="0" w:color="auto"/>
            <w:right w:val="none" w:sz="0" w:space="0" w:color="auto"/>
          </w:divBdr>
        </w:div>
        <w:div w:id="980765244">
          <w:marLeft w:val="1872"/>
          <w:marRight w:val="0"/>
          <w:marTop w:val="100"/>
          <w:marBottom w:val="120"/>
          <w:divBdr>
            <w:top w:val="none" w:sz="0" w:space="0" w:color="auto"/>
            <w:left w:val="none" w:sz="0" w:space="0" w:color="auto"/>
            <w:bottom w:val="none" w:sz="0" w:space="0" w:color="auto"/>
            <w:right w:val="none" w:sz="0" w:space="0" w:color="auto"/>
          </w:divBdr>
        </w:div>
        <w:div w:id="260142364">
          <w:marLeft w:val="1872"/>
          <w:marRight w:val="0"/>
          <w:marTop w:val="100"/>
          <w:marBottom w:val="120"/>
          <w:divBdr>
            <w:top w:val="none" w:sz="0" w:space="0" w:color="auto"/>
            <w:left w:val="none" w:sz="0" w:space="0" w:color="auto"/>
            <w:bottom w:val="none" w:sz="0" w:space="0" w:color="auto"/>
            <w:right w:val="none" w:sz="0" w:space="0" w:color="auto"/>
          </w:divBdr>
        </w:div>
        <w:div w:id="2128962507">
          <w:marLeft w:val="1872"/>
          <w:marRight w:val="0"/>
          <w:marTop w:val="100"/>
          <w:marBottom w:val="120"/>
          <w:divBdr>
            <w:top w:val="none" w:sz="0" w:space="0" w:color="auto"/>
            <w:left w:val="none" w:sz="0" w:space="0" w:color="auto"/>
            <w:bottom w:val="none" w:sz="0" w:space="0" w:color="auto"/>
            <w:right w:val="none" w:sz="0" w:space="0" w:color="auto"/>
          </w:divBdr>
        </w:div>
        <w:div w:id="1336689726">
          <w:marLeft w:val="547"/>
          <w:marRight w:val="0"/>
          <w:marTop w:val="100"/>
          <w:marBottom w:val="120"/>
          <w:divBdr>
            <w:top w:val="none" w:sz="0" w:space="0" w:color="auto"/>
            <w:left w:val="none" w:sz="0" w:space="0" w:color="auto"/>
            <w:bottom w:val="none" w:sz="0" w:space="0" w:color="auto"/>
            <w:right w:val="none" w:sz="0" w:space="0" w:color="auto"/>
          </w:divBdr>
        </w:div>
      </w:divsChild>
    </w:div>
    <w:div w:id="1248540892">
      <w:bodyDiv w:val="1"/>
      <w:marLeft w:val="0"/>
      <w:marRight w:val="0"/>
      <w:marTop w:val="0"/>
      <w:marBottom w:val="0"/>
      <w:divBdr>
        <w:top w:val="none" w:sz="0" w:space="0" w:color="auto"/>
        <w:left w:val="none" w:sz="0" w:space="0" w:color="auto"/>
        <w:bottom w:val="none" w:sz="0" w:space="0" w:color="auto"/>
        <w:right w:val="none" w:sz="0" w:space="0" w:color="auto"/>
      </w:divBdr>
    </w:div>
    <w:div w:id="2092314050">
      <w:bodyDiv w:val="1"/>
      <w:marLeft w:val="0"/>
      <w:marRight w:val="0"/>
      <w:marTop w:val="0"/>
      <w:marBottom w:val="0"/>
      <w:divBdr>
        <w:top w:val="none" w:sz="0" w:space="0" w:color="auto"/>
        <w:left w:val="none" w:sz="0" w:space="0" w:color="auto"/>
        <w:bottom w:val="none" w:sz="0" w:space="0" w:color="auto"/>
        <w:right w:val="none" w:sz="0" w:space="0" w:color="auto"/>
      </w:divBdr>
      <w:divsChild>
        <w:div w:id="722367321">
          <w:marLeft w:val="1397"/>
          <w:marRight w:val="0"/>
          <w:marTop w:val="120"/>
          <w:marBottom w:val="120"/>
          <w:divBdr>
            <w:top w:val="none" w:sz="0" w:space="0" w:color="auto"/>
            <w:left w:val="none" w:sz="0" w:space="0" w:color="auto"/>
            <w:bottom w:val="none" w:sz="0" w:space="0" w:color="auto"/>
            <w:right w:val="none" w:sz="0" w:space="0" w:color="auto"/>
          </w:divBdr>
        </w:div>
        <w:div w:id="837160868">
          <w:marLeft w:val="1397"/>
          <w:marRight w:val="0"/>
          <w:marTop w:val="120"/>
          <w:marBottom w:val="120"/>
          <w:divBdr>
            <w:top w:val="none" w:sz="0" w:space="0" w:color="auto"/>
            <w:left w:val="none" w:sz="0" w:space="0" w:color="auto"/>
            <w:bottom w:val="none" w:sz="0" w:space="0" w:color="auto"/>
            <w:right w:val="none" w:sz="0" w:space="0" w:color="auto"/>
          </w:divBdr>
        </w:div>
        <w:div w:id="253710973">
          <w:marLeft w:val="2635"/>
          <w:marRight w:val="0"/>
          <w:marTop w:val="120"/>
          <w:marBottom w:val="120"/>
          <w:divBdr>
            <w:top w:val="none" w:sz="0" w:space="0" w:color="auto"/>
            <w:left w:val="none" w:sz="0" w:space="0" w:color="auto"/>
            <w:bottom w:val="none" w:sz="0" w:space="0" w:color="auto"/>
            <w:right w:val="none" w:sz="0" w:space="0" w:color="auto"/>
          </w:divBdr>
        </w:div>
        <w:div w:id="1537543506">
          <w:marLeft w:val="2635"/>
          <w:marRight w:val="0"/>
          <w:marTop w:val="120"/>
          <w:marBottom w:val="120"/>
          <w:divBdr>
            <w:top w:val="none" w:sz="0" w:space="0" w:color="auto"/>
            <w:left w:val="none" w:sz="0" w:space="0" w:color="auto"/>
            <w:bottom w:val="none" w:sz="0" w:space="0" w:color="auto"/>
            <w:right w:val="none" w:sz="0" w:space="0" w:color="auto"/>
          </w:divBdr>
        </w:div>
        <w:div w:id="601112061">
          <w:marLeft w:val="2635"/>
          <w:marRight w:val="0"/>
          <w:marTop w:val="120"/>
          <w:marBottom w:val="120"/>
          <w:divBdr>
            <w:top w:val="none" w:sz="0" w:space="0" w:color="auto"/>
            <w:left w:val="none" w:sz="0" w:space="0" w:color="auto"/>
            <w:bottom w:val="none" w:sz="0" w:space="0" w:color="auto"/>
            <w:right w:val="none" w:sz="0" w:space="0" w:color="auto"/>
          </w:divBdr>
        </w:div>
        <w:div w:id="33769840">
          <w:marLeft w:val="1397"/>
          <w:marRight w:val="0"/>
          <w:marTop w:val="12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A43E-2C0B-4213-A625-4BC97F52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7753</Words>
  <Characters>44196</Characters>
  <Application>Microsoft Office Word</Application>
  <DocSecurity>0</DocSecurity>
  <Lines>368</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JPL</Company>
  <LinksUpToDate>false</LinksUpToDate>
  <CharactersWithSpaces>51846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 David (US 3290)</dc:creator>
  <cp:lastModifiedBy>Crisp, David (3290)</cp:lastModifiedBy>
  <cp:revision>3</cp:revision>
  <dcterms:created xsi:type="dcterms:W3CDTF">2019-10-12T02:32:00Z</dcterms:created>
  <dcterms:modified xsi:type="dcterms:W3CDTF">2019-10-12T02:36:00Z</dcterms:modified>
</cp:coreProperties>
</file>