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7" w:type="dxa"/>
        <w:tblInd w:w="567" w:type="dxa"/>
        <w:tblLook w:val="04A0" w:firstRow="1" w:lastRow="0" w:firstColumn="1" w:lastColumn="0" w:noHBand="0" w:noVBand="1"/>
      </w:tblPr>
      <w:tblGrid>
        <w:gridCol w:w="1653"/>
        <w:gridCol w:w="6242"/>
        <w:gridCol w:w="567"/>
        <w:gridCol w:w="1195"/>
      </w:tblGrid>
      <w:tr w:rsidR="00E30EED" w:rsidRPr="003A2249" w14:paraId="6E940472" w14:textId="77777777" w:rsidTr="001B3A40">
        <w:tc>
          <w:tcPr>
            <w:tcW w:w="1653" w:type="dxa"/>
            <w:shd w:val="clear" w:color="auto" w:fill="D9D9D9"/>
          </w:tcPr>
          <w:p w14:paraId="7692E160" w14:textId="77777777" w:rsidR="00E30EED" w:rsidRPr="003A2249" w:rsidRDefault="00E30EED" w:rsidP="00FD33D6">
            <w:pPr>
              <w:tabs>
                <w:tab w:val="left" w:pos="2126"/>
              </w:tabs>
              <w:spacing w:beforeLines="60" w:before="144" w:afterLines="60" w:after="144" w:line="240" w:lineRule="atLeast"/>
              <w:rPr>
                <w:rFonts w:ascii="Arial" w:hAnsi="Arial"/>
                <w:b/>
                <w:color w:val="005A8C"/>
                <w:sz w:val="18"/>
                <w:lang w:val="en-US"/>
              </w:rPr>
            </w:pPr>
            <w:bookmarkStart w:id="0" w:name="_GoBack" w:colFirst="0" w:colLast="0"/>
            <w:r w:rsidRPr="003A2249">
              <w:rPr>
                <w:rFonts w:ascii="Arial" w:hAnsi="Arial"/>
                <w:b/>
                <w:color w:val="005A8C"/>
                <w:sz w:val="18"/>
                <w:lang w:val="en-US"/>
              </w:rPr>
              <w:t>Indicator</w:t>
            </w:r>
          </w:p>
        </w:tc>
        <w:tc>
          <w:tcPr>
            <w:tcW w:w="8004" w:type="dxa"/>
            <w:gridSpan w:val="3"/>
          </w:tcPr>
          <w:p w14:paraId="7BDD29A8" w14:textId="77777777" w:rsidR="00E30EED" w:rsidRPr="003A2249" w:rsidRDefault="00E30EED"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11.3.1 Ratio of land consumption rate to population growth rate.</w:t>
            </w:r>
          </w:p>
        </w:tc>
      </w:tr>
      <w:tr w:rsidR="00E30EED" w:rsidRPr="003A2249" w14:paraId="14341B3A" w14:textId="77777777" w:rsidTr="001B3A40">
        <w:tc>
          <w:tcPr>
            <w:tcW w:w="1653" w:type="dxa"/>
          </w:tcPr>
          <w:p w14:paraId="3F7B7157" w14:textId="77777777" w:rsidR="00E30EED" w:rsidRPr="003A2249" w:rsidRDefault="00E30EED" w:rsidP="00FD33D6">
            <w:pPr>
              <w:tabs>
                <w:tab w:val="left" w:pos="2126"/>
              </w:tabs>
              <w:spacing w:beforeLines="60" w:before="144" w:afterLines="60" w:after="144" w:line="240" w:lineRule="atLeast"/>
              <w:rPr>
                <w:rFonts w:ascii="Arial" w:hAnsi="Arial"/>
                <w:color w:val="005A8C"/>
                <w:sz w:val="18"/>
                <w:lang w:val="en-US"/>
              </w:rPr>
            </w:pPr>
            <w:r w:rsidRPr="003A2249">
              <w:rPr>
                <w:rFonts w:ascii="Arial" w:hAnsi="Arial"/>
                <w:color w:val="005A8C"/>
                <w:sz w:val="18"/>
                <w:lang w:val="en-US"/>
              </w:rPr>
              <w:t>Target</w:t>
            </w:r>
          </w:p>
        </w:tc>
        <w:tc>
          <w:tcPr>
            <w:tcW w:w="8004" w:type="dxa"/>
            <w:gridSpan w:val="3"/>
          </w:tcPr>
          <w:p w14:paraId="7DB7EE0B" w14:textId="77777777" w:rsidR="00E30EED" w:rsidRPr="003A2249" w:rsidRDefault="00E30EED"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11.3 By 2030, enhance inclusive and sustainable urbanization and capacity for participatory, integrated and sustainable human settlement planning and management in all countries. </w:t>
            </w:r>
          </w:p>
        </w:tc>
      </w:tr>
      <w:tr w:rsidR="00E30EED" w:rsidRPr="003A2249" w14:paraId="5409CD2C" w14:textId="77777777" w:rsidTr="001B3A40">
        <w:tc>
          <w:tcPr>
            <w:tcW w:w="1653" w:type="dxa"/>
          </w:tcPr>
          <w:p w14:paraId="2E054408" w14:textId="77777777" w:rsidR="00E30EED" w:rsidRPr="003A2249" w:rsidRDefault="00E30EED" w:rsidP="00FD33D6">
            <w:pPr>
              <w:tabs>
                <w:tab w:val="left" w:pos="2126"/>
              </w:tabs>
              <w:spacing w:beforeLines="60" w:before="144" w:afterLines="60" w:after="144" w:line="240" w:lineRule="atLeast"/>
              <w:rPr>
                <w:rFonts w:ascii="Arial" w:hAnsi="Arial"/>
                <w:color w:val="005A8C"/>
                <w:sz w:val="18"/>
                <w:lang w:val="en-US"/>
              </w:rPr>
            </w:pPr>
            <w:r w:rsidRPr="003A2249">
              <w:rPr>
                <w:rFonts w:ascii="Arial" w:hAnsi="Arial"/>
                <w:color w:val="005A8C"/>
                <w:sz w:val="18"/>
                <w:lang w:val="en-US"/>
              </w:rPr>
              <w:t>Custodian</w:t>
            </w:r>
          </w:p>
        </w:tc>
        <w:tc>
          <w:tcPr>
            <w:tcW w:w="6242" w:type="dxa"/>
          </w:tcPr>
          <w:p w14:paraId="1B0FB715" w14:textId="77777777" w:rsidR="00E30EED" w:rsidRPr="003A2249" w:rsidRDefault="00E30EED"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United Nations Human Settlements </w:t>
            </w:r>
            <w:proofErr w:type="spellStart"/>
            <w:r w:rsidRPr="003A2249">
              <w:rPr>
                <w:rFonts w:ascii="Arial" w:hAnsi="Arial"/>
                <w:sz w:val="18"/>
                <w:lang w:val="en-US"/>
              </w:rPr>
              <w:t>Programme</w:t>
            </w:r>
            <w:proofErr w:type="spellEnd"/>
            <w:r w:rsidRPr="003A2249">
              <w:rPr>
                <w:rFonts w:ascii="Arial" w:hAnsi="Arial"/>
                <w:sz w:val="18"/>
                <w:lang w:val="en-US"/>
              </w:rPr>
              <w:t xml:space="preserve"> (UN-Habitat). </w:t>
            </w:r>
          </w:p>
        </w:tc>
        <w:tc>
          <w:tcPr>
            <w:tcW w:w="567" w:type="dxa"/>
          </w:tcPr>
          <w:p w14:paraId="44EF61BE" w14:textId="77777777" w:rsidR="00E30EED" w:rsidRPr="003A2249" w:rsidRDefault="00E30EED" w:rsidP="00FD33D6">
            <w:pPr>
              <w:tabs>
                <w:tab w:val="left" w:pos="2126"/>
              </w:tabs>
              <w:spacing w:beforeLines="60" w:before="144" w:afterLines="60" w:after="144" w:line="240" w:lineRule="atLeast"/>
              <w:rPr>
                <w:rFonts w:ascii="Arial" w:hAnsi="Arial"/>
                <w:color w:val="005A8C"/>
                <w:sz w:val="18"/>
                <w:lang w:val="en-US"/>
              </w:rPr>
            </w:pPr>
            <w:r w:rsidRPr="003A2249">
              <w:rPr>
                <w:rFonts w:ascii="Arial" w:hAnsi="Arial"/>
                <w:color w:val="005A8C"/>
                <w:sz w:val="18"/>
                <w:lang w:val="en-US"/>
              </w:rPr>
              <w:t>Tier</w:t>
            </w:r>
          </w:p>
        </w:tc>
        <w:tc>
          <w:tcPr>
            <w:tcW w:w="1195" w:type="dxa"/>
          </w:tcPr>
          <w:p w14:paraId="2E8589F2" w14:textId="77777777" w:rsidR="00E30EED" w:rsidRPr="003A2249" w:rsidRDefault="00E30EED"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II </w:t>
            </w:r>
          </w:p>
        </w:tc>
      </w:tr>
      <w:tr w:rsidR="00E30EED" w:rsidRPr="003A2249" w14:paraId="5FAFE047" w14:textId="77777777" w:rsidTr="001B3A40">
        <w:tc>
          <w:tcPr>
            <w:tcW w:w="1653" w:type="dxa"/>
          </w:tcPr>
          <w:p w14:paraId="1710FD09" w14:textId="77777777" w:rsidR="00E30EED" w:rsidRPr="003A2249" w:rsidRDefault="00E30EED" w:rsidP="00FD33D6">
            <w:pPr>
              <w:tabs>
                <w:tab w:val="left" w:pos="2126"/>
              </w:tabs>
              <w:spacing w:beforeLines="60" w:before="144" w:afterLines="60" w:after="144" w:line="240" w:lineRule="atLeast"/>
              <w:rPr>
                <w:rFonts w:ascii="Arial" w:hAnsi="Arial"/>
                <w:color w:val="005A8C"/>
                <w:sz w:val="18"/>
                <w:lang w:val="en-US"/>
              </w:rPr>
            </w:pPr>
            <w:r w:rsidRPr="003A2249">
              <w:rPr>
                <w:rFonts w:ascii="Arial" w:hAnsi="Arial"/>
                <w:color w:val="005A8C"/>
                <w:sz w:val="18"/>
                <w:lang w:val="en-US"/>
              </w:rPr>
              <w:t>Current approach and challenges</w:t>
            </w:r>
          </w:p>
        </w:tc>
        <w:tc>
          <w:tcPr>
            <w:tcW w:w="8004" w:type="dxa"/>
            <w:gridSpan w:val="3"/>
          </w:tcPr>
          <w:p w14:paraId="3C0081C0" w14:textId="2DF96B68" w:rsidR="001E71DA" w:rsidRPr="003A2249" w:rsidRDefault="00E30EED"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The indicator aims at monitoring and measuring urban development by comparing the urban expansion rate with the population growth rate on similar temporal and spatial scales.</w:t>
            </w:r>
            <w:r w:rsidR="00BA6138" w:rsidRPr="003A2249">
              <w:rPr>
                <w:lang w:val="en-US"/>
              </w:rPr>
              <w:t xml:space="preserve"> </w:t>
            </w:r>
            <w:r w:rsidR="00BA6138" w:rsidRPr="003A2249">
              <w:rPr>
                <w:rFonts w:ascii="Arial" w:hAnsi="Arial"/>
                <w:sz w:val="18"/>
                <w:lang w:val="en-US"/>
              </w:rPr>
              <w:t>Indicator 11.3.1 measures how efficiently cities utilize land, which is measured as a ratio of the rate at which cities spatially consume land against the rate at which their populations grow.</w:t>
            </w:r>
          </w:p>
          <w:p w14:paraId="0ADE2400" w14:textId="57B7F759" w:rsidR="00FF148A" w:rsidRPr="003A2249" w:rsidRDefault="00B928C0"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The formula to derive </w:t>
            </w:r>
            <w:r w:rsidR="00365A14" w:rsidRPr="003A2249">
              <w:rPr>
                <w:rFonts w:ascii="Arial" w:hAnsi="Arial"/>
                <w:sz w:val="18"/>
                <w:lang w:val="en-US"/>
              </w:rPr>
              <w:t xml:space="preserve">the ratio of land consumption rate to population growth rate (LCRPGR) </w:t>
            </w:r>
            <w:r w:rsidRPr="003A2249">
              <w:rPr>
                <w:rFonts w:ascii="Arial" w:hAnsi="Arial"/>
                <w:sz w:val="18"/>
                <w:lang w:val="en-US"/>
              </w:rPr>
              <w:t>can be summarized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824"/>
            </w:tblGrid>
            <w:tr w:rsidR="001B2FB1" w:rsidRPr="003A2249" w14:paraId="09BF342D" w14:textId="77777777" w:rsidTr="003305CC">
              <w:tc>
                <w:tcPr>
                  <w:tcW w:w="4011" w:type="dxa"/>
                </w:tcPr>
                <w:p w14:paraId="255AE555" w14:textId="0B901AA3" w:rsidR="001B2FB1" w:rsidRPr="003A2249" w:rsidRDefault="001B2FB1" w:rsidP="00FD33D6">
                  <w:pPr>
                    <w:tabs>
                      <w:tab w:val="left" w:pos="2126"/>
                    </w:tabs>
                    <w:spacing w:beforeLines="60" w:before="144" w:afterLines="60" w:after="144" w:line="240" w:lineRule="atLeast"/>
                    <w:rPr>
                      <w:rFonts w:ascii="Arial" w:hAnsi="Arial"/>
                      <w:sz w:val="18"/>
                      <w:lang w:val="en-US"/>
                    </w:rPr>
                  </w:pPr>
                  <m:oMathPara>
                    <m:oMath>
                      <m:r>
                        <w:rPr>
                          <w:rFonts w:ascii="Cambria Math" w:hAnsi="Cambria Math"/>
                          <w:sz w:val="18"/>
                          <w:lang w:val="en-US"/>
                        </w:rPr>
                        <m:t xml:space="preserve">LCPGR = </m:t>
                      </m:r>
                      <m:f>
                        <m:fPr>
                          <m:ctrlPr>
                            <w:rPr>
                              <w:rFonts w:ascii="Cambria Math" w:hAnsi="Cambria Math"/>
                              <w:i/>
                              <w:sz w:val="18"/>
                              <w:lang w:val="en-US"/>
                            </w:rPr>
                          </m:ctrlPr>
                        </m:fPr>
                        <m:num>
                          <m:d>
                            <m:dPr>
                              <m:ctrlPr>
                                <w:rPr>
                                  <w:rFonts w:ascii="Cambria Math" w:hAnsi="Cambria Math"/>
                                  <w:i/>
                                  <w:sz w:val="18"/>
                                  <w:lang w:val="en-US"/>
                                </w:rPr>
                              </m:ctrlPr>
                            </m:dPr>
                            <m:e>
                              <m:r>
                                <w:rPr>
                                  <w:rFonts w:ascii="Cambria Math" w:hAnsi="Cambria Math"/>
                                  <w:sz w:val="18"/>
                                  <w:lang w:val="en-US"/>
                                </w:rPr>
                                <m:t>Annual Land Consumption rate</m:t>
                              </m:r>
                            </m:e>
                          </m:d>
                        </m:num>
                        <m:den>
                          <m:d>
                            <m:dPr>
                              <m:ctrlPr>
                                <w:rPr>
                                  <w:rFonts w:ascii="Cambria Math" w:hAnsi="Cambria Math"/>
                                  <w:i/>
                                  <w:sz w:val="18"/>
                                  <w:lang w:val="en-US"/>
                                </w:rPr>
                              </m:ctrlPr>
                            </m:dPr>
                            <m:e>
                              <m:r>
                                <w:rPr>
                                  <w:rFonts w:ascii="Cambria Math" w:hAnsi="Cambria Math"/>
                                  <w:sz w:val="18"/>
                                  <w:lang w:val="en-US"/>
                                </w:rPr>
                                <m:t>Annual Populationgrowth rate</m:t>
                              </m:r>
                            </m:e>
                          </m:d>
                        </m:den>
                      </m:f>
                    </m:oMath>
                  </m:oMathPara>
                </w:p>
              </w:tc>
              <w:tc>
                <w:tcPr>
                  <w:tcW w:w="4012" w:type="dxa"/>
                </w:tcPr>
                <w:p w14:paraId="2B1CC506" w14:textId="1B66B9DA" w:rsidR="001B2FB1" w:rsidRPr="003A2249" w:rsidRDefault="001B2FB1" w:rsidP="00FD33D6">
                  <w:pPr>
                    <w:tabs>
                      <w:tab w:val="left" w:pos="2126"/>
                    </w:tabs>
                    <w:spacing w:beforeLines="60" w:before="144" w:afterLines="60" w:after="144" w:line="240" w:lineRule="atLeast"/>
                    <w:jc w:val="right"/>
                    <w:rPr>
                      <w:rFonts w:ascii="Arial" w:hAnsi="Arial"/>
                      <w:sz w:val="18"/>
                      <w:lang w:val="en-US"/>
                    </w:rPr>
                  </w:pPr>
                  <w:r w:rsidRPr="003A2249">
                    <w:rPr>
                      <w:rFonts w:ascii="Arial" w:hAnsi="Arial"/>
                      <w:sz w:val="18"/>
                      <w:lang w:val="en-US"/>
                    </w:rPr>
                    <w:t>[eq. 1]</w:t>
                  </w:r>
                </w:p>
              </w:tc>
            </w:tr>
          </w:tbl>
          <w:p w14:paraId="38B3C249" w14:textId="0BF287AC" w:rsidR="002544F7" w:rsidRPr="003A2249" w:rsidRDefault="00BB2535"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Practically, </w:t>
            </w:r>
            <w:r w:rsidR="001B2FB1" w:rsidRPr="003A2249">
              <w:rPr>
                <w:rFonts w:ascii="Arial" w:hAnsi="Arial"/>
                <w:sz w:val="18"/>
                <w:lang w:val="en-US"/>
              </w:rPr>
              <w:t xml:space="preserve">equation 1 is </w:t>
            </w:r>
            <w:r w:rsidR="00B05FC1" w:rsidRPr="003A2249">
              <w:rPr>
                <w:rFonts w:ascii="Arial" w:hAnsi="Arial"/>
                <w:sz w:val="18"/>
                <w:lang w:val="en-US"/>
              </w:rPr>
              <w:t>computed</w:t>
            </w:r>
            <w:r w:rsidR="000D01A7" w:rsidRPr="003A2249">
              <w:rPr>
                <w:rFonts w:ascii="Arial" w:hAnsi="Arial"/>
                <w:sz w:val="18"/>
                <w:lang w:val="en-US"/>
              </w:rPr>
              <w:t xml:space="preserve"> in a </w:t>
            </w:r>
            <w:r w:rsidR="00405440" w:rsidRPr="003A2249">
              <w:rPr>
                <w:rFonts w:ascii="Arial" w:hAnsi="Arial"/>
                <w:sz w:val="18"/>
                <w:lang w:val="en-US"/>
              </w:rPr>
              <w:t>two-step</w:t>
            </w:r>
            <w:r w:rsidR="000D01A7" w:rsidRPr="003A2249">
              <w:rPr>
                <w:rFonts w:ascii="Arial" w:hAnsi="Arial"/>
                <w:sz w:val="18"/>
                <w:lang w:val="en-US"/>
              </w:rPr>
              <w:t xml:space="preserve"> process involving the </w:t>
            </w:r>
            <w:r w:rsidR="00405440" w:rsidRPr="003A2249">
              <w:rPr>
                <w:rFonts w:ascii="Arial" w:hAnsi="Arial"/>
                <w:sz w:val="18"/>
                <w:lang w:val="en-US"/>
              </w:rPr>
              <w:t xml:space="preserve">data collection and </w:t>
            </w:r>
            <w:r w:rsidR="000D01A7" w:rsidRPr="003A2249">
              <w:rPr>
                <w:rFonts w:ascii="Arial" w:hAnsi="Arial"/>
                <w:sz w:val="18"/>
                <w:lang w:val="en-US"/>
              </w:rPr>
              <w:t>estimation of population growth and</w:t>
            </w:r>
            <w:r w:rsidR="009D3637" w:rsidRPr="003A2249">
              <w:rPr>
                <w:rFonts w:ascii="Arial" w:hAnsi="Arial"/>
                <w:sz w:val="18"/>
                <w:lang w:val="en-US"/>
              </w:rPr>
              <w:t xml:space="preserve"> land consumption respectively.</w:t>
            </w:r>
            <w:r w:rsidR="003D3ECA" w:rsidRPr="003A2249">
              <w:rPr>
                <w:rFonts w:ascii="Arial" w:hAnsi="Arial"/>
                <w:sz w:val="18"/>
                <w:lang w:val="en-US"/>
              </w:rPr>
              <w:t xml:space="preserve"> The land consumption rate is defined as </w:t>
            </w:r>
            <w:r w:rsidR="00E90623" w:rsidRPr="003A2249">
              <w:rPr>
                <w:rFonts w:ascii="Arial" w:hAnsi="Arial"/>
                <w:sz w:val="18"/>
                <w:lang w:val="en-US"/>
              </w:rPr>
              <w:t>the uptake of land by urban developments including the urbanized open spaces</w:t>
            </w:r>
            <w:r w:rsidR="007B62B1" w:rsidRPr="003A2249">
              <w:rPr>
                <w:rFonts w:ascii="Arial" w:hAnsi="Arial"/>
                <w:sz w:val="18"/>
                <w:lang w:val="en-US"/>
              </w:rPr>
              <w:t>.</w:t>
            </w:r>
            <w:r w:rsidR="007B1BDE" w:rsidRPr="003A2249">
              <w:rPr>
                <w:rFonts w:ascii="Arial" w:hAnsi="Arial"/>
                <w:sz w:val="18"/>
                <w:lang w:val="en-US"/>
              </w:rPr>
              <w:t xml:space="preserve"> In essence the land consumption represent the change in urban extent over time </w:t>
            </w:r>
            <w:r w:rsidR="005F053A" w:rsidRPr="003A2249">
              <w:rPr>
                <w:rFonts w:ascii="Arial" w:hAnsi="Arial"/>
                <w:sz w:val="18"/>
                <w:lang w:val="en-US"/>
              </w:rPr>
              <w:t>and where urban extent is defined as</w:t>
            </w:r>
            <w:r w:rsidR="009D3637" w:rsidRPr="003A2249">
              <w:rPr>
                <w:rFonts w:ascii="Arial" w:hAnsi="Arial"/>
                <w:sz w:val="18"/>
                <w:lang w:val="en-US"/>
              </w:rPr>
              <w:t xml:space="preserve"> </w:t>
            </w:r>
            <w:r w:rsidR="005F053A" w:rsidRPr="003A2249">
              <w:rPr>
                <w:rFonts w:ascii="Arial" w:hAnsi="Arial"/>
                <w:sz w:val="18"/>
                <w:lang w:val="en-US"/>
              </w:rPr>
              <w:t>the total built-up area of the city proper and the Urbanized Open Space in and around it</w:t>
            </w:r>
            <w:r w:rsidR="00CC12D2" w:rsidRPr="003A2249">
              <w:rPr>
                <w:rFonts w:ascii="Arial" w:hAnsi="Arial"/>
                <w:sz w:val="18"/>
                <w:lang w:val="en-US"/>
              </w:rPr>
              <w:t xml:space="preserve">, and where built-up area </w:t>
            </w:r>
            <w:r w:rsidR="007C157A" w:rsidRPr="003A2249">
              <w:rPr>
                <w:rFonts w:ascii="Arial" w:hAnsi="Arial"/>
                <w:sz w:val="18"/>
                <w:lang w:val="en-US"/>
              </w:rPr>
              <w:t>is the total area of the impervious surfaces in the city proper</w:t>
            </w:r>
            <w:r w:rsidR="00B02EF5" w:rsidRPr="003A2249">
              <w:rPr>
                <w:rFonts w:ascii="Arial" w:hAnsi="Arial"/>
                <w:sz w:val="18"/>
                <w:lang w:val="en-US"/>
              </w:rPr>
              <w:t xml:space="preserve"> i.e. </w:t>
            </w:r>
            <w:r w:rsidR="007C157A" w:rsidRPr="003A2249">
              <w:rPr>
                <w:rFonts w:ascii="Arial" w:hAnsi="Arial"/>
                <w:sz w:val="18"/>
                <w:lang w:val="en-US"/>
              </w:rPr>
              <w:t>roofs, streets, and parking lots</w:t>
            </w:r>
            <w:r w:rsidR="00494157" w:rsidRPr="003A2249">
              <w:rPr>
                <w:rFonts w:ascii="Arial" w:hAnsi="Arial"/>
                <w:sz w:val="18"/>
                <w:lang w:val="en-US"/>
              </w:rPr>
              <w:t xml:space="preserve">, </w:t>
            </w:r>
            <w:r w:rsidR="007C157A" w:rsidRPr="003A2249">
              <w:rPr>
                <w:rFonts w:ascii="Arial" w:hAnsi="Arial"/>
                <w:sz w:val="18"/>
                <w:lang w:val="en-US"/>
              </w:rPr>
              <w:t>but excluding urbanized open space, both public and private, as well as vacant lands, measured in hectares</w:t>
            </w:r>
            <w:r w:rsidR="005F053A" w:rsidRPr="003A2249">
              <w:rPr>
                <w:rFonts w:ascii="Arial" w:hAnsi="Arial"/>
                <w:sz w:val="18"/>
                <w:lang w:val="en-US"/>
              </w:rPr>
              <w:t>.</w:t>
            </w:r>
            <w:r w:rsidR="000D01A7" w:rsidRPr="003A2249">
              <w:rPr>
                <w:rFonts w:ascii="Arial" w:hAnsi="Arial"/>
                <w:sz w:val="18"/>
                <w:lang w:val="en-US"/>
              </w:rPr>
              <w:t xml:space="preserve"> </w:t>
            </w:r>
            <w:r w:rsidRPr="003A2249">
              <w:rPr>
                <w:rFonts w:ascii="Arial" w:hAnsi="Arial"/>
                <w:sz w:val="18"/>
                <w:lang w:val="en-US"/>
              </w:rPr>
              <w:t xml:space="preserve"> </w:t>
            </w:r>
          </w:p>
          <w:p w14:paraId="64FF7A0E" w14:textId="57A3BB98" w:rsidR="000071E1" w:rsidRPr="003A2249" w:rsidRDefault="005C2FD0"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It is noted that the periods for both urban expansion and population growth rates should be at comparable scale</w:t>
            </w:r>
            <w:proofErr w:type="gramStart"/>
            <w:r w:rsidRPr="003A2249">
              <w:rPr>
                <w:rFonts w:ascii="Arial" w:hAnsi="Arial"/>
                <w:sz w:val="18"/>
                <w:lang w:val="en-US"/>
              </w:rPr>
              <w:t xml:space="preserve">. </w:t>
            </w:r>
            <w:r w:rsidR="006C3E7C" w:rsidRPr="003A2249">
              <w:rPr>
                <w:rFonts w:ascii="Arial" w:hAnsi="Arial"/>
                <w:sz w:val="18"/>
                <w:lang w:val="en-US"/>
              </w:rPr>
              <w:t>.</w:t>
            </w:r>
            <w:proofErr w:type="gramEnd"/>
            <w:r w:rsidR="006C3E7C" w:rsidRPr="003A2249">
              <w:rPr>
                <w:rFonts w:ascii="Arial" w:hAnsi="Arial"/>
                <w:sz w:val="18"/>
                <w:lang w:val="en-US"/>
              </w:rPr>
              <w:t xml:space="preserve"> The metadata for this indicator does not explicitly define the baseline year for the reporting periods rather it is anticipated that countries can report consistently after a few years and hereafter repeated regularly in 5-year intervals, allowing for three reporting points until the year 2030.</w:t>
            </w:r>
            <w:r w:rsidR="00B10458" w:rsidRPr="003A2249">
              <w:rPr>
                <w:rFonts w:ascii="Arial" w:hAnsi="Arial"/>
                <w:sz w:val="18"/>
                <w:lang w:val="en-US"/>
              </w:rPr>
              <w:t xml:space="preserve"> In </w:t>
            </w:r>
            <w:r w:rsidR="009F7B85" w:rsidRPr="003A2249">
              <w:rPr>
                <w:rFonts w:ascii="Arial" w:hAnsi="Arial"/>
                <w:sz w:val="18"/>
                <w:lang w:val="en-US"/>
              </w:rPr>
              <w:t>addition,</w:t>
            </w:r>
            <w:r w:rsidR="00B10458" w:rsidRPr="003A2249">
              <w:rPr>
                <w:rFonts w:ascii="Arial" w:hAnsi="Arial"/>
                <w:sz w:val="18"/>
                <w:lang w:val="en-US"/>
              </w:rPr>
              <w:t xml:space="preserve"> and for better understanding how the consumption of land by cities contributes to sustainable urbanization – in line with target 11.3 - historical image analysis is highly encouraged for this indicator, with a proposed </w:t>
            </w:r>
            <w:r w:rsidR="00DF23BF" w:rsidRPr="003A2249">
              <w:rPr>
                <w:rFonts w:ascii="Arial" w:hAnsi="Arial"/>
                <w:sz w:val="18"/>
                <w:lang w:val="en-US"/>
              </w:rPr>
              <w:t>historical reference</w:t>
            </w:r>
            <w:r w:rsidR="00B10458" w:rsidRPr="003A2249">
              <w:rPr>
                <w:rFonts w:ascii="Arial" w:hAnsi="Arial"/>
                <w:sz w:val="18"/>
                <w:lang w:val="en-US"/>
              </w:rPr>
              <w:t xml:space="preserve"> year of 2000.</w:t>
            </w:r>
          </w:p>
          <w:p w14:paraId="124FCB00" w14:textId="576131E2" w:rsidR="00AB57C3" w:rsidRPr="003A2249" w:rsidRDefault="00AB57C3"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The indicator has been classified as TIER-II meaning that the indicator is conceptually </w:t>
            </w:r>
            <w:r w:rsidR="00060F02" w:rsidRPr="003A2249">
              <w:rPr>
                <w:rFonts w:ascii="Arial" w:hAnsi="Arial"/>
                <w:sz w:val="18"/>
                <w:lang w:val="en-US"/>
              </w:rPr>
              <w:t>clear,</w:t>
            </w:r>
            <w:r w:rsidRPr="003A2249">
              <w:rPr>
                <w:rFonts w:ascii="Arial" w:hAnsi="Arial"/>
                <w:sz w:val="18"/>
                <w:lang w:val="en-US"/>
              </w:rPr>
              <w:t xml:space="preserve"> and an established methodology exists but data on many countries is not yet available. The Global Human Settlement Layer (GHSL) technology open framework </w:t>
            </w:r>
            <w:r w:rsidR="00360BA2" w:rsidRPr="003A2249">
              <w:rPr>
                <w:rFonts w:ascii="Arial" w:hAnsi="Arial"/>
                <w:sz w:val="18"/>
                <w:lang w:val="en-US"/>
              </w:rPr>
              <w:t xml:space="preserve">developed by the Joint Research Centre (JRC) and the European Commission (EC) </w:t>
            </w:r>
            <w:r w:rsidRPr="003A2249">
              <w:rPr>
                <w:rFonts w:ascii="Arial" w:hAnsi="Arial"/>
                <w:sz w:val="18"/>
                <w:lang w:val="en-US"/>
              </w:rPr>
              <w:t xml:space="preserve">is proposed for global open spatial baseline data production (built-up and population grids). </w:t>
            </w:r>
            <w:r w:rsidR="005937FE" w:rsidRPr="003A2249">
              <w:rPr>
                <w:rFonts w:ascii="Arial" w:hAnsi="Arial"/>
                <w:sz w:val="18"/>
                <w:lang w:val="en-US"/>
              </w:rPr>
              <w:t>The GHSL framework</w:t>
            </w:r>
            <w:r w:rsidR="00360BA2" w:rsidRPr="003A2249">
              <w:rPr>
                <w:rFonts w:ascii="Arial" w:hAnsi="Arial"/>
                <w:sz w:val="18"/>
                <w:lang w:val="en-US"/>
              </w:rPr>
              <w:t xml:space="preserve"> </w:t>
            </w:r>
            <w:r w:rsidR="005937FE" w:rsidRPr="003A2249">
              <w:rPr>
                <w:rFonts w:ascii="Arial" w:hAnsi="Arial"/>
                <w:sz w:val="18"/>
                <w:lang w:val="en-US"/>
              </w:rPr>
              <w:t xml:space="preserve">provides data and </w:t>
            </w:r>
            <w:r w:rsidR="009F0007" w:rsidRPr="003A2249">
              <w:rPr>
                <w:rFonts w:ascii="Arial" w:hAnsi="Arial"/>
                <w:sz w:val="18"/>
                <w:lang w:val="en-US"/>
              </w:rPr>
              <w:t>tools developed</w:t>
            </w:r>
            <w:r w:rsidR="005937FE" w:rsidRPr="003A2249">
              <w:rPr>
                <w:rFonts w:ascii="Arial" w:hAnsi="Arial"/>
                <w:sz w:val="18"/>
                <w:lang w:val="en-US"/>
              </w:rPr>
              <w:t xml:space="preserve"> from EO, census data, and volunteered geographic information that produces global maps of built-up areas, resident population, and settlement typologies for four epochs (1975, 1990, 2000, and 2015). </w:t>
            </w:r>
            <w:r w:rsidRPr="003A2249">
              <w:rPr>
                <w:rFonts w:ascii="Arial" w:hAnsi="Arial"/>
                <w:sz w:val="18"/>
                <w:lang w:val="en-US"/>
              </w:rPr>
              <w:t xml:space="preserve">The </w:t>
            </w:r>
            <w:r w:rsidR="00B162C9" w:rsidRPr="003A2249">
              <w:rPr>
                <w:rFonts w:ascii="Arial" w:hAnsi="Arial"/>
                <w:sz w:val="18"/>
                <w:lang w:val="en-US"/>
              </w:rPr>
              <w:t xml:space="preserve">GHSL </w:t>
            </w:r>
            <w:r w:rsidRPr="003A2249">
              <w:rPr>
                <w:rFonts w:ascii="Arial" w:hAnsi="Arial"/>
                <w:sz w:val="18"/>
                <w:lang w:val="en-US"/>
              </w:rPr>
              <w:t>global open data is available and will be updated through EU support and international partnership</w:t>
            </w:r>
            <w:r w:rsidR="003A2249">
              <w:rPr>
                <w:rFonts w:ascii="Arial" w:hAnsi="Arial"/>
                <w:sz w:val="18"/>
                <w:lang w:val="en-US"/>
              </w:rPr>
              <w:t>.</w:t>
            </w:r>
            <w:r w:rsidR="00F250D5" w:rsidRPr="003A2249">
              <w:rPr>
                <w:rFonts w:ascii="Arial" w:hAnsi="Arial"/>
                <w:sz w:val="18"/>
                <w:lang w:val="en-US"/>
              </w:rPr>
              <w:t xml:space="preserve"> </w:t>
            </w:r>
            <w:r w:rsidR="003A2249">
              <w:rPr>
                <w:rFonts w:ascii="Arial" w:hAnsi="Arial"/>
                <w:sz w:val="18"/>
                <w:lang w:val="en-US"/>
              </w:rPr>
              <w:t>T</w:t>
            </w:r>
            <w:r w:rsidR="00F250D5" w:rsidRPr="003A2249">
              <w:rPr>
                <w:rFonts w:ascii="Arial" w:hAnsi="Arial"/>
                <w:sz w:val="18"/>
                <w:lang w:val="en-US"/>
              </w:rPr>
              <w:t>he tools will be opened to national Authorities by a new platform and capacity building program</w:t>
            </w:r>
            <w:r w:rsidR="00F24D62" w:rsidRPr="003A2249">
              <w:rPr>
                <w:rFonts w:ascii="Arial" w:hAnsi="Arial"/>
                <w:sz w:val="18"/>
                <w:lang w:val="en-US"/>
              </w:rPr>
              <w:t xml:space="preserve">. </w:t>
            </w:r>
          </w:p>
          <w:p w14:paraId="71C9F0BA" w14:textId="77777777" w:rsidR="001B1927" w:rsidRPr="003A2249" w:rsidRDefault="00B30FBE" w:rsidP="001B1927">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Despite</w:t>
            </w:r>
            <w:r w:rsidR="00225E8D" w:rsidRPr="003A2249">
              <w:rPr>
                <w:rFonts w:ascii="Arial" w:hAnsi="Arial"/>
                <w:sz w:val="18"/>
                <w:lang w:val="en-US"/>
              </w:rPr>
              <w:t xml:space="preserve"> being classified as</w:t>
            </w:r>
            <w:r w:rsidRPr="003A2249">
              <w:rPr>
                <w:rFonts w:ascii="Arial" w:hAnsi="Arial"/>
                <w:sz w:val="18"/>
                <w:lang w:val="en-US"/>
              </w:rPr>
              <w:t xml:space="preserve"> TIER II </w:t>
            </w:r>
            <w:r w:rsidR="00225E8D" w:rsidRPr="003A2249">
              <w:rPr>
                <w:rFonts w:ascii="Arial" w:hAnsi="Arial"/>
                <w:sz w:val="18"/>
                <w:lang w:val="en-US"/>
              </w:rPr>
              <w:t xml:space="preserve">the reporting on 11.3.1 is </w:t>
            </w:r>
            <w:r w:rsidR="004B38B1" w:rsidRPr="003A2249">
              <w:rPr>
                <w:rFonts w:ascii="Arial" w:hAnsi="Arial"/>
                <w:sz w:val="18"/>
                <w:lang w:val="en-US"/>
              </w:rPr>
              <w:t xml:space="preserve">still subject to a number of </w:t>
            </w:r>
            <w:r w:rsidR="008D1C4F" w:rsidRPr="003A2249">
              <w:rPr>
                <w:rFonts w:ascii="Arial" w:hAnsi="Arial"/>
                <w:sz w:val="18"/>
                <w:lang w:val="en-US"/>
              </w:rPr>
              <w:t xml:space="preserve">challenges </w:t>
            </w:r>
            <w:r w:rsidR="005137EB" w:rsidRPr="003A2249">
              <w:rPr>
                <w:rFonts w:ascii="Arial" w:hAnsi="Arial"/>
                <w:sz w:val="18"/>
                <w:lang w:val="en-US"/>
              </w:rPr>
              <w:t xml:space="preserve">including issues with the </w:t>
            </w:r>
            <w:r w:rsidR="008D1C4F" w:rsidRPr="003A2249">
              <w:rPr>
                <w:rFonts w:ascii="Arial" w:hAnsi="Arial"/>
                <w:sz w:val="18"/>
                <w:lang w:val="en-US"/>
              </w:rPr>
              <w:t xml:space="preserve">definition and estimation of </w:t>
            </w:r>
            <w:r w:rsidR="006D253B" w:rsidRPr="003A2249">
              <w:rPr>
                <w:rFonts w:ascii="Arial" w:hAnsi="Arial"/>
                <w:sz w:val="18"/>
                <w:lang w:val="en-US"/>
              </w:rPr>
              <w:t xml:space="preserve">respective </w:t>
            </w:r>
            <w:r w:rsidR="006478EE" w:rsidRPr="003A2249">
              <w:rPr>
                <w:rFonts w:ascii="Arial" w:hAnsi="Arial"/>
                <w:sz w:val="18"/>
                <w:lang w:val="en-US"/>
              </w:rPr>
              <w:t xml:space="preserve">the land consumption rate and the </w:t>
            </w:r>
            <w:r w:rsidR="008D1C4F" w:rsidRPr="003A2249">
              <w:rPr>
                <w:rFonts w:ascii="Arial" w:hAnsi="Arial"/>
                <w:sz w:val="18"/>
                <w:lang w:val="en-US"/>
              </w:rPr>
              <w:t>population growth rate.</w:t>
            </w:r>
            <w:r w:rsidR="006478EE" w:rsidRPr="003A2249">
              <w:rPr>
                <w:rFonts w:ascii="Arial" w:hAnsi="Arial"/>
                <w:sz w:val="18"/>
                <w:lang w:val="en-US"/>
              </w:rPr>
              <w:t xml:space="preserve"> While the definition on land consumption is very specific the </w:t>
            </w:r>
            <w:r w:rsidR="00F178EA" w:rsidRPr="003A2249">
              <w:rPr>
                <w:rFonts w:ascii="Arial" w:hAnsi="Arial"/>
                <w:sz w:val="18"/>
                <w:lang w:val="en-US"/>
              </w:rPr>
              <w:t xml:space="preserve">recommended data sources for its estimation is not </w:t>
            </w:r>
            <w:r w:rsidR="006B5396" w:rsidRPr="003A2249">
              <w:rPr>
                <w:rFonts w:ascii="Arial" w:hAnsi="Arial"/>
                <w:sz w:val="18"/>
                <w:lang w:val="en-US"/>
              </w:rPr>
              <w:t>in full accordance with th</w:t>
            </w:r>
            <w:r w:rsidR="0070415B" w:rsidRPr="003A2249">
              <w:rPr>
                <w:rFonts w:ascii="Arial" w:hAnsi="Arial"/>
                <w:sz w:val="18"/>
                <w:lang w:val="en-US"/>
              </w:rPr>
              <w:t>e</w:t>
            </w:r>
            <w:r w:rsidR="006B5396" w:rsidRPr="003A2249">
              <w:rPr>
                <w:rFonts w:ascii="Arial" w:hAnsi="Arial"/>
                <w:sz w:val="18"/>
                <w:lang w:val="en-US"/>
              </w:rPr>
              <w:t xml:space="preserve"> definition. By example, </w:t>
            </w:r>
            <w:r w:rsidR="00767AAC" w:rsidRPr="003A2249">
              <w:rPr>
                <w:rFonts w:ascii="Arial" w:hAnsi="Arial"/>
                <w:sz w:val="18"/>
                <w:lang w:val="en-US"/>
              </w:rPr>
              <w:t xml:space="preserve">built-up area can be directly measured </w:t>
            </w:r>
            <w:r w:rsidR="00A43472" w:rsidRPr="003A2249">
              <w:rPr>
                <w:rFonts w:ascii="Arial" w:hAnsi="Arial"/>
                <w:sz w:val="18"/>
                <w:lang w:val="en-US"/>
              </w:rPr>
              <w:t xml:space="preserve">by EO technology, but </w:t>
            </w:r>
            <w:r w:rsidR="002D58B2" w:rsidRPr="003A2249">
              <w:rPr>
                <w:rFonts w:ascii="Arial" w:hAnsi="Arial"/>
                <w:sz w:val="18"/>
                <w:lang w:val="en-US"/>
              </w:rPr>
              <w:t>i</w:t>
            </w:r>
            <w:r w:rsidR="00A43472" w:rsidRPr="003A2249">
              <w:rPr>
                <w:rFonts w:ascii="Arial" w:hAnsi="Arial"/>
                <w:sz w:val="18"/>
                <w:lang w:val="en-US"/>
              </w:rPr>
              <w:t xml:space="preserve">t </w:t>
            </w:r>
            <w:r w:rsidR="002D58B2" w:rsidRPr="003A2249">
              <w:rPr>
                <w:rFonts w:ascii="Arial" w:hAnsi="Arial"/>
                <w:sz w:val="18"/>
                <w:lang w:val="en-US"/>
              </w:rPr>
              <w:t xml:space="preserve">requires additional processing and a level of abstraction to convert </w:t>
            </w:r>
            <w:r w:rsidR="00094182" w:rsidRPr="003A2249">
              <w:rPr>
                <w:rFonts w:ascii="Arial" w:hAnsi="Arial"/>
                <w:sz w:val="18"/>
                <w:lang w:val="en-US"/>
              </w:rPr>
              <w:t xml:space="preserve">or agglomerate the </w:t>
            </w:r>
            <w:r w:rsidR="002D58B2" w:rsidRPr="003A2249">
              <w:rPr>
                <w:rFonts w:ascii="Arial" w:hAnsi="Arial"/>
                <w:sz w:val="18"/>
                <w:lang w:val="en-US"/>
              </w:rPr>
              <w:t xml:space="preserve">built-up area into </w:t>
            </w:r>
            <w:r w:rsidR="00094182" w:rsidRPr="003A2249">
              <w:rPr>
                <w:rFonts w:ascii="Arial" w:hAnsi="Arial"/>
                <w:sz w:val="18"/>
                <w:lang w:val="en-US"/>
              </w:rPr>
              <w:t>urban extent</w:t>
            </w:r>
            <w:r w:rsidR="00E32D84" w:rsidRPr="003A2249">
              <w:rPr>
                <w:rFonts w:ascii="Arial" w:hAnsi="Arial"/>
                <w:sz w:val="18"/>
                <w:lang w:val="en-US"/>
              </w:rPr>
              <w:t xml:space="preserve">. </w:t>
            </w:r>
            <w:r w:rsidR="002D58B2" w:rsidRPr="003A2249">
              <w:rPr>
                <w:rFonts w:ascii="Arial" w:hAnsi="Arial"/>
                <w:sz w:val="18"/>
                <w:lang w:val="en-US"/>
              </w:rPr>
              <w:t xml:space="preserve">In </w:t>
            </w:r>
            <w:r w:rsidR="00E32D84" w:rsidRPr="003A2249">
              <w:rPr>
                <w:rFonts w:ascii="Arial" w:hAnsi="Arial"/>
                <w:sz w:val="18"/>
                <w:lang w:val="en-US"/>
              </w:rPr>
              <w:t>addition,</w:t>
            </w:r>
            <w:r w:rsidR="0005401F" w:rsidRPr="003A2249">
              <w:rPr>
                <w:rFonts w:ascii="Arial" w:hAnsi="Arial"/>
                <w:sz w:val="18"/>
                <w:lang w:val="en-US"/>
              </w:rPr>
              <w:t xml:space="preserve"> it may </w:t>
            </w:r>
            <w:r w:rsidR="00E32D84" w:rsidRPr="003A2249">
              <w:rPr>
                <w:rFonts w:ascii="Arial" w:hAnsi="Arial"/>
                <w:sz w:val="18"/>
                <w:lang w:val="en-US"/>
              </w:rPr>
              <w:t xml:space="preserve">be difficult </w:t>
            </w:r>
            <w:r w:rsidR="0005401F" w:rsidRPr="003A2249">
              <w:rPr>
                <w:rFonts w:ascii="Arial" w:hAnsi="Arial"/>
                <w:sz w:val="18"/>
                <w:lang w:val="en-US"/>
              </w:rPr>
              <w:t>to measure the urban expansion</w:t>
            </w:r>
            <w:r w:rsidR="00E32D84" w:rsidRPr="003A2249">
              <w:rPr>
                <w:rFonts w:ascii="Arial" w:hAnsi="Arial"/>
                <w:sz w:val="18"/>
                <w:lang w:val="en-US"/>
              </w:rPr>
              <w:t xml:space="preserve"> </w:t>
            </w:r>
            <w:r w:rsidR="0005401F" w:rsidRPr="003A2249">
              <w:rPr>
                <w:rFonts w:ascii="Arial" w:hAnsi="Arial"/>
                <w:sz w:val="18"/>
                <w:lang w:val="en-US"/>
              </w:rPr>
              <w:t>of two or more urban areas in</w:t>
            </w:r>
            <w:r w:rsidR="00635B13" w:rsidRPr="003A2249">
              <w:rPr>
                <w:rFonts w:ascii="Arial" w:hAnsi="Arial"/>
                <w:sz w:val="18"/>
                <w:lang w:val="en-US"/>
              </w:rPr>
              <w:t xml:space="preserve"> </w:t>
            </w:r>
            <w:r w:rsidR="0005401F" w:rsidRPr="003A2249">
              <w:rPr>
                <w:rFonts w:ascii="Arial" w:hAnsi="Arial"/>
                <w:sz w:val="18"/>
                <w:lang w:val="en-US"/>
              </w:rPr>
              <w:t>close proximity</w:t>
            </w:r>
            <w:r w:rsidR="00635B13" w:rsidRPr="003A2249">
              <w:rPr>
                <w:rFonts w:ascii="Arial" w:hAnsi="Arial"/>
                <w:sz w:val="18"/>
                <w:lang w:val="en-US"/>
              </w:rPr>
              <w:t xml:space="preserve"> as it may be difficult to judge </w:t>
            </w:r>
            <w:r w:rsidR="0005401F" w:rsidRPr="003A2249">
              <w:rPr>
                <w:rFonts w:ascii="Arial" w:hAnsi="Arial"/>
                <w:sz w:val="18"/>
                <w:lang w:val="en-US"/>
              </w:rPr>
              <w:t xml:space="preserve">to </w:t>
            </w:r>
            <w:r w:rsidR="00635B13" w:rsidRPr="003A2249">
              <w:rPr>
                <w:rFonts w:ascii="Arial" w:hAnsi="Arial"/>
                <w:sz w:val="18"/>
                <w:lang w:val="en-US"/>
              </w:rPr>
              <w:t xml:space="preserve">which city the </w:t>
            </w:r>
            <w:r w:rsidR="0005401F" w:rsidRPr="003A2249">
              <w:rPr>
                <w:rFonts w:ascii="Arial" w:hAnsi="Arial"/>
                <w:sz w:val="18"/>
                <w:lang w:val="en-US"/>
              </w:rPr>
              <w:t>urban growth</w:t>
            </w:r>
            <w:r w:rsidR="00635B13" w:rsidRPr="003A2249">
              <w:rPr>
                <w:rFonts w:ascii="Arial" w:hAnsi="Arial"/>
                <w:sz w:val="18"/>
                <w:lang w:val="en-US"/>
              </w:rPr>
              <w:t xml:space="preserve"> should be attributed</w:t>
            </w:r>
            <w:r w:rsidR="0053608F" w:rsidRPr="003A2249">
              <w:rPr>
                <w:rFonts w:ascii="Arial" w:hAnsi="Arial"/>
                <w:sz w:val="18"/>
                <w:lang w:val="en-US"/>
              </w:rPr>
              <w:t xml:space="preserve">. </w:t>
            </w:r>
          </w:p>
          <w:p w14:paraId="6207C8D1" w14:textId="5BE4AD89" w:rsidR="00E30EED" w:rsidRPr="003A2249" w:rsidRDefault="001B1927" w:rsidP="001B1927">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lastRenderedPageBreak/>
              <w:t xml:space="preserve">Finally, and </w:t>
            </w:r>
            <w:r w:rsidR="00E30EED" w:rsidRPr="003A2249">
              <w:rPr>
                <w:rFonts w:ascii="Arial" w:hAnsi="Arial"/>
                <w:sz w:val="18"/>
                <w:lang w:val="en-US"/>
              </w:rPr>
              <w:t>since most of the population lives in urban areas, it is often assumed that the residents in urban areas may be represented by the residents in administrative units containing such areas.</w:t>
            </w:r>
            <w:r w:rsidR="00494556" w:rsidRPr="003A2249">
              <w:rPr>
                <w:rFonts w:ascii="Arial" w:hAnsi="Arial"/>
                <w:sz w:val="18"/>
                <w:lang w:val="en-US"/>
              </w:rPr>
              <w:t xml:space="preserve"> </w:t>
            </w:r>
            <w:r w:rsidR="00D928A6" w:rsidRPr="003A2249">
              <w:rPr>
                <w:rFonts w:ascii="Arial" w:hAnsi="Arial"/>
                <w:sz w:val="18"/>
                <w:lang w:val="en-US"/>
              </w:rPr>
              <w:t>B</w:t>
            </w:r>
            <w:r w:rsidR="00B85A2F" w:rsidRPr="003A2249">
              <w:rPr>
                <w:rFonts w:ascii="Arial" w:hAnsi="Arial"/>
                <w:sz w:val="18"/>
                <w:lang w:val="en-US"/>
              </w:rPr>
              <w:t>ut a</w:t>
            </w:r>
            <w:r w:rsidR="00D928A6" w:rsidRPr="003A2249">
              <w:rPr>
                <w:rFonts w:ascii="Arial" w:hAnsi="Arial"/>
                <w:sz w:val="18"/>
                <w:lang w:val="en-US"/>
              </w:rPr>
              <w:t xml:space="preserve"> recent UN-Habi</w:t>
            </w:r>
            <w:r w:rsidR="00C22492" w:rsidRPr="003A2249">
              <w:rPr>
                <w:rFonts w:ascii="Arial" w:hAnsi="Arial"/>
                <w:sz w:val="18"/>
                <w:lang w:val="en-US"/>
              </w:rPr>
              <w:t xml:space="preserve">tat survey revealed the existence of major variations between what is statistically identified as urban (the separation of enumeration areas into urban and rural as implemented by national statistical offices, for census purposes), and what is officially defined </w:t>
            </w:r>
            <w:r w:rsidR="00E2731C" w:rsidRPr="003A2249">
              <w:rPr>
                <w:rFonts w:ascii="Arial" w:hAnsi="Arial"/>
                <w:sz w:val="18"/>
                <w:lang w:val="en-US"/>
              </w:rPr>
              <w:t xml:space="preserve">or mapped </w:t>
            </w:r>
            <w:r w:rsidR="00C22492" w:rsidRPr="003A2249">
              <w:rPr>
                <w:rFonts w:ascii="Arial" w:hAnsi="Arial"/>
                <w:sz w:val="18"/>
                <w:lang w:val="en-US"/>
              </w:rPr>
              <w:t xml:space="preserve">as urban (as per existing municipal or city boundaries in the country). </w:t>
            </w:r>
          </w:p>
        </w:tc>
      </w:tr>
      <w:tr w:rsidR="00E30EED" w:rsidRPr="003A2249" w14:paraId="09649982" w14:textId="77777777" w:rsidTr="003305CC">
        <w:tc>
          <w:tcPr>
            <w:tcW w:w="9657" w:type="dxa"/>
            <w:gridSpan w:val="4"/>
            <w:shd w:val="clear" w:color="auto" w:fill="D9D9D9"/>
          </w:tcPr>
          <w:p w14:paraId="793BE246" w14:textId="77777777" w:rsidR="00E30EED" w:rsidRPr="003A2249" w:rsidRDefault="00E30EED" w:rsidP="00FD33D6">
            <w:pPr>
              <w:tabs>
                <w:tab w:val="left" w:pos="2126"/>
              </w:tabs>
              <w:spacing w:beforeLines="60" w:before="144" w:afterLines="60" w:after="144" w:line="240" w:lineRule="atLeast"/>
              <w:rPr>
                <w:rFonts w:ascii="Arial" w:hAnsi="Arial"/>
                <w:b/>
                <w:i/>
                <w:color w:val="005A8C"/>
                <w:sz w:val="18"/>
                <w:lang w:val="en-US"/>
              </w:rPr>
            </w:pPr>
            <w:r w:rsidRPr="003A2249">
              <w:rPr>
                <w:rFonts w:ascii="Arial" w:hAnsi="Arial"/>
                <w:b/>
                <w:color w:val="005A8C"/>
                <w:sz w:val="18"/>
                <w:lang w:val="en-US"/>
              </w:rPr>
              <w:lastRenderedPageBreak/>
              <w:t>Opportunities for Earth Observation</w:t>
            </w:r>
          </w:p>
        </w:tc>
      </w:tr>
      <w:tr w:rsidR="00E30EED" w:rsidRPr="003A2249" w14:paraId="009496FD" w14:textId="77777777" w:rsidTr="001B3A40">
        <w:tc>
          <w:tcPr>
            <w:tcW w:w="1653" w:type="dxa"/>
          </w:tcPr>
          <w:p w14:paraId="7361D04A" w14:textId="77777777" w:rsidR="00E30EED" w:rsidRPr="003A2249" w:rsidRDefault="00E30EED" w:rsidP="00FD33D6">
            <w:pPr>
              <w:tabs>
                <w:tab w:val="left" w:pos="2126"/>
              </w:tabs>
              <w:spacing w:beforeLines="60" w:before="144" w:afterLines="60" w:after="144" w:line="240" w:lineRule="atLeast"/>
              <w:rPr>
                <w:rFonts w:ascii="Arial" w:hAnsi="Arial"/>
                <w:color w:val="005A8C"/>
                <w:sz w:val="18"/>
                <w:lang w:val="en-US"/>
              </w:rPr>
            </w:pPr>
            <w:r w:rsidRPr="003A2249">
              <w:rPr>
                <w:rFonts w:ascii="Arial" w:hAnsi="Arial"/>
                <w:color w:val="005A8C"/>
                <w:sz w:val="18"/>
                <w:lang w:val="en-US"/>
              </w:rPr>
              <w:t>Opportunities for EO</w:t>
            </w:r>
          </w:p>
        </w:tc>
        <w:tc>
          <w:tcPr>
            <w:tcW w:w="8004" w:type="dxa"/>
            <w:gridSpan w:val="3"/>
          </w:tcPr>
          <w:p w14:paraId="28B3D9D0" w14:textId="6AB4DBD9" w:rsidR="002C7B17" w:rsidRPr="003A2249" w:rsidRDefault="002C7B17"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Earth Observation is recognized as an important data source for measuring this indicator. EO has direct relevance for mapping </w:t>
            </w:r>
            <w:r w:rsidR="00E74BB0" w:rsidRPr="003A2249">
              <w:rPr>
                <w:rFonts w:ascii="Arial" w:hAnsi="Arial"/>
                <w:sz w:val="18"/>
                <w:lang w:val="en-US"/>
              </w:rPr>
              <w:t>and monitoring changes in the built-up area</w:t>
            </w:r>
            <w:r w:rsidRPr="003A2249">
              <w:rPr>
                <w:rFonts w:ascii="Arial" w:hAnsi="Arial"/>
                <w:sz w:val="18"/>
                <w:lang w:val="en-US"/>
              </w:rPr>
              <w:t xml:space="preserve"> </w:t>
            </w:r>
            <w:r w:rsidR="008739A8" w:rsidRPr="003A2249">
              <w:rPr>
                <w:rFonts w:ascii="Arial" w:hAnsi="Arial"/>
                <w:sz w:val="18"/>
                <w:lang w:val="en-US"/>
              </w:rPr>
              <w:t xml:space="preserve">and for defining the </w:t>
            </w:r>
            <w:r w:rsidR="00C906C0" w:rsidRPr="003A2249">
              <w:rPr>
                <w:rFonts w:ascii="Arial" w:hAnsi="Arial"/>
                <w:sz w:val="18"/>
                <w:lang w:val="en-US"/>
              </w:rPr>
              <w:t xml:space="preserve">extent of </w:t>
            </w:r>
            <w:r w:rsidR="008739A8" w:rsidRPr="003A2249">
              <w:rPr>
                <w:rFonts w:ascii="Arial" w:hAnsi="Arial"/>
                <w:sz w:val="18"/>
                <w:lang w:val="en-US"/>
              </w:rPr>
              <w:t xml:space="preserve">urban </w:t>
            </w:r>
            <w:r w:rsidR="00B674FC" w:rsidRPr="003A2249">
              <w:rPr>
                <w:rFonts w:ascii="Arial" w:hAnsi="Arial"/>
                <w:sz w:val="18"/>
                <w:lang w:val="en-US"/>
              </w:rPr>
              <w:t>area</w:t>
            </w:r>
            <w:r w:rsidR="008739A8" w:rsidRPr="003A2249">
              <w:rPr>
                <w:rFonts w:ascii="Arial" w:hAnsi="Arial"/>
                <w:sz w:val="18"/>
                <w:lang w:val="en-US"/>
              </w:rPr>
              <w:t xml:space="preserve"> </w:t>
            </w:r>
            <w:r w:rsidRPr="003A2249">
              <w:rPr>
                <w:rFonts w:ascii="Arial" w:hAnsi="Arial"/>
                <w:sz w:val="18"/>
                <w:lang w:val="en-US"/>
              </w:rPr>
              <w:t xml:space="preserve">but EO are also indirectly supportive for generating disaggregated maps of global, regional or national census data. </w:t>
            </w:r>
          </w:p>
          <w:p w14:paraId="08356C95" w14:textId="4D0E2AF1" w:rsidR="008314AD" w:rsidRPr="003A2249" w:rsidRDefault="00137F80" w:rsidP="00FD33D6">
            <w:pPr>
              <w:tabs>
                <w:tab w:val="left" w:pos="2126"/>
              </w:tabs>
              <w:spacing w:beforeLines="60" w:before="144" w:afterLines="60" w:after="144" w:line="240" w:lineRule="atLeast"/>
              <w:rPr>
                <w:rFonts w:ascii="Arial" w:hAnsi="Arial"/>
                <w:sz w:val="18"/>
                <w:lang w:val="en-US"/>
              </w:rPr>
            </w:pPr>
            <w:r w:rsidRPr="003A2249">
              <w:rPr>
                <w:rFonts w:ascii="Arial" w:hAnsi="Arial"/>
                <w:b/>
                <w:sz w:val="18"/>
                <w:lang w:val="en-US"/>
              </w:rPr>
              <w:t>Built-up area</w:t>
            </w:r>
            <w:r w:rsidR="002C7B17" w:rsidRPr="003A2249">
              <w:rPr>
                <w:rFonts w:ascii="Arial" w:hAnsi="Arial"/>
                <w:sz w:val="18"/>
                <w:lang w:val="en-US"/>
              </w:rPr>
              <w:t xml:space="preserve">: Earth Observation data is well equipped for mapping </w:t>
            </w:r>
            <w:r w:rsidR="004B0AE6" w:rsidRPr="003A2249">
              <w:rPr>
                <w:rFonts w:ascii="Arial" w:hAnsi="Arial"/>
                <w:sz w:val="18"/>
                <w:lang w:val="en-US"/>
              </w:rPr>
              <w:t>built-up areas</w:t>
            </w:r>
            <w:r w:rsidR="002C7B17" w:rsidRPr="003A2249">
              <w:rPr>
                <w:rFonts w:ascii="Arial" w:hAnsi="Arial"/>
                <w:sz w:val="18"/>
                <w:lang w:val="en-US"/>
              </w:rPr>
              <w:t xml:space="preserve"> and </w:t>
            </w:r>
            <w:r w:rsidR="006668EE" w:rsidRPr="003A2249">
              <w:rPr>
                <w:rFonts w:ascii="Arial" w:hAnsi="Arial"/>
                <w:sz w:val="18"/>
                <w:lang w:val="en-US"/>
              </w:rPr>
              <w:t xml:space="preserve">as of </w:t>
            </w:r>
            <w:r w:rsidR="002C7B17" w:rsidRPr="003A2249">
              <w:rPr>
                <w:rFonts w:ascii="Arial" w:hAnsi="Arial"/>
                <w:sz w:val="18"/>
                <w:lang w:val="en-US"/>
              </w:rPr>
              <w:t xml:space="preserve">today several global datasets </w:t>
            </w:r>
            <w:r w:rsidR="00CB29D8" w:rsidRPr="003A2249">
              <w:rPr>
                <w:rFonts w:ascii="Arial" w:hAnsi="Arial"/>
                <w:sz w:val="18"/>
                <w:lang w:val="en-US"/>
              </w:rPr>
              <w:t>are</w:t>
            </w:r>
            <w:r w:rsidR="002C7B17" w:rsidRPr="003A2249">
              <w:rPr>
                <w:rFonts w:ascii="Arial" w:hAnsi="Arial"/>
                <w:sz w:val="18"/>
                <w:lang w:val="en-US"/>
              </w:rPr>
              <w:t xml:space="preserve"> available including the Global Human Settlement Built-up (GHS BU) </w:t>
            </w:r>
            <w:r w:rsidR="007A512C" w:rsidRPr="003A2249">
              <w:rPr>
                <w:rFonts w:ascii="Arial" w:hAnsi="Arial"/>
                <w:sz w:val="18"/>
                <w:lang w:val="en-US"/>
              </w:rPr>
              <w:t xml:space="preserve">developed by JRC/EC </w:t>
            </w:r>
            <w:r w:rsidR="002C7B17" w:rsidRPr="003A2249">
              <w:rPr>
                <w:rFonts w:ascii="Arial" w:hAnsi="Arial"/>
                <w:sz w:val="18"/>
                <w:lang w:val="en-US"/>
              </w:rPr>
              <w:t>and the Global Urban Footprint (GUF)</w:t>
            </w:r>
            <w:r w:rsidR="007A512C" w:rsidRPr="003A2249">
              <w:rPr>
                <w:rFonts w:ascii="Arial" w:hAnsi="Arial"/>
                <w:sz w:val="18"/>
                <w:lang w:val="en-US"/>
              </w:rPr>
              <w:t xml:space="preserve"> developed by DLR</w:t>
            </w:r>
            <w:r w:rsidR="002C7B17" w:rsidRPr="003A2249">
              <w:rPr>
                <w:rFonts w:ascii="Arial" w:hAnsi="Arial"/>
                <w:sz w:val="18"/>
                <w:lang w:val="en-US"/>
              </w:rPr>
              <w:t>. Although impressive in term of high spatial resolution and global coverage</w:t>
            </w:r>
            <w:r w:rsidR="00B67D88" w:rsidRPr="003A2249">
              <w:rPr>
                <w:rFonts w:ascii="Arial" w:hAnsi="Arial"/>
                <w:sz w:val="18"/>
                <w:lang w:val="en-US"/>
              </w:rPr>
              <w:t>,</w:t>
            </w:r>
            <w:r w:rsidR="002C7B17" w:rsidRPr="003A2249">
              <w:rPr>
                <w:rFonts w:ascii="Arial" w:hAnsi="Arial"/>
                <w:sz w:val="18"/>
                <w:lang w:val="en-US"/>
              </w:rPr>
              <w:t xml:space="preserve"> the</w:t>
            </w:r>
            <w:r w:rsidR="00360BA2" w:rsidRPr="003A2249">
              <w:rPr>
                <w:rFonts w:ascii="Arial" w:hAnsi="Arial"/>
                <w:sz w:val="18"/>
                <w:lang w:val="en-US"/>
              </w:rPr>
              <w:t>se</w:t>
            </w:r>
            <w:r w:rsidR="002C7B17" w:rsidRPr="003A2249">
              <w:rPr>
                <w:rFonts w:ascii="Arial" w:hAnsi="Arial"/>
                <w:sz w:val="18"/>
                <w:lang w:val="en-US"/>
              </w:rPr>
              <w:t xml:space="preserve"> datasets come with certain caveats.  By example the GHS BU relies solely on Landsat data and with reported issues related to confusion of bare soil and urban areas.</w:t>
            </w:r>
            <w:r w:rsidR="00475B36" w:rsidRPr="003A2249">
              <w:rPr>
                <w:rFonts w:ascii="Arial" w:hAnsi="Arial"/>
                <w:sz w:val="18"/>
                <w:lang w:val="en-US"/>
              </w:rPr>
              <w:t xml:space="preserve"> Contrary the GUF relies </w:t>
            </w:r>
            <w:r w:rsidR="00E7372A" w:rsidRPr="003A2249">
              <w:rPr>
                <w:rFonts w:ascii="Arial" w:hAnsi="Arial"/>
                <w:sz w:val="18"/>
                <w:lang w:val="en-US"/>
              </w:rPr>
              <w:t>solely</w:t>
            </w:r>
            <w:r w:rsidR="00475B36" w:rsidRPr="003A2249">
              <w:rPr>
                <w:rFonts w:ascii="Arial" w:hAnsi="Arial"/>
                <w:sz w:val="18"/>
                <w:lang w:val="en-US"/>
              </w:rPr>
              <w:t xml:space="preserve"> on radar imagery </w:t>
            </w:r>
            <w:r w:rsidR="00E7372A" w:rsidRPr="003A2249">
              <w:rPr>
                <w:rFonts w:ascii="Arial" w:hAnsi="Arial"/>
                <w:sz w:val="18"/>
                <w:lang w:val="en-US"/>
              </w:rPr>
              <w:t xml:space="preserve">and </w:t>
            </w:r>
            <w:r w:rsidR="002C7B17" w:rsidRPr="003A2249">
              <w:rPr>
                <w:rFonts w:ascii="Arial" w:hAnsi="Arial"/>
                <w:sz w:val="18"/>
                <w:lang w:val="en-US"/>
              </w:rPr>
              <w:t xml:space="preserve">the public can only access an aggregated version of the </w:t>
            </w:r>
            <w:r w:rsidR="00E7372A" w:rsidRPr="003A2249">
              <w:rPr>
                <w:rFonts w:ascii="Arial" w:hAnsi="Arial"/>
                <w:sz w:val="18"/>
                <w:lang w:val="en-US"/>
              </w:rPr>
              <w:t xml:space="preserve">GUF </w:t>
            </w:r>
            <w:r w:rsidR="002C7B17" w:rsidRPr="003A2249">
              <w:rPr>
                <w:rFonts w:ascii="Arial" w:hAnsi="Arial"/>
                <w:sz w:val="18"/>
                <w:lang w:val="en-US"/>
              </w:rPr>
              <w:t>product (i.e. 75 meters vs. the full resolution in 12 meters)</w:t>
            </w:r>
            <w:r w:rsidR="00360BA2" w:rsidRPr="003A2249">
              <w:rPr>
                <w:rFonts w:ascii="Arial" w:hAnsi="Arial"/>
                <w:sz w:val="18"/>
                <w:lang w:val="en-US"/>
              </w:rPr>
              <w:t xml:space="preserve"> and only for the year 2012</w:t>
            </w:r>
            <w:r w:rsidR="002C7B17" w:rsidRPr="003A2249">
              <w:rPr>
                <w:rFonts w:ascii="Arial" w:hAnsi="Arial"/>
                <w:sz w:val="18"/>
                <w:lang w:val="en-US"/>
              </w:rPr>
              <w:t xml:space="preserve">. </w:t>
            </w:r>
            <w:r w:rsidR="006717AF" w:rsidRPr="003A2249">
              <w:rPr>
                <w:rFonts w:ascii="Arial" w:hAnsi="Arial"/>
                <w:sz w:val="18"/>
                <w:lang w:val="en-US"/>
              </w:rPr>
              <w:t xml:space="preserve">The </w:t>
            </w:r>
            <w:r w:rsidR="00536B7D" w:rsidRPr="003A2249">
              <w:rPr>
                <w:rFonts w:ascii="Arial" w:hAnsi="Arial"/>
                <w:sz w:val="18"/>
                <w:lang w:val="en-US"/>
              </w:rPr>
              <w:t xml:space="preserve">new </w:t>
            </w:r>
            <w:r w:rsidR="006717AF" w:rsidRPr="003A2249">
              <w:rPr>
                <w:rFonts w:ascii="Arial" w:hAnsi="Arial"/>
                <w:sz w:val="18"/>
                <w:lang w:val="en-US"/>
              </w:rPr>
              <w:t xml:space="preserve">World Settlement Footprint 2015 (WSF-2015) </w:t>
            </w:r>
            <w:r w:rsidR="007A512C" w:rsidRPr="003A2249">
              <w:rPr>
                <w:rFonts w:ascii="Arial" w:hAnsi="Arial"/>
                <w:sz w:val="18"/>
                <w:lang w:val="en-US"/>
              </w:rPr>
              <w:t xml:space="preserve">developed by DLR/ESA </w:t>
            </w:r>
            <w:r w:rsidR="006717AF" w:rsidRPr="003A2249">
              <w:rPr>
                <w:rFonts w:ascii="Arial" w:hAnsi="Arial"/>
                <w:sz w:val="18"/>
                <w:lang w:val="en-US"/>
              </w:rPr>
              <w:t xml:space="preserve">is </w:t>
            </w:r>
            <w:r w:rsidR="00536B7D" w:rsidRPr="003A2249">
              <w:rPr>
                <w:rFonts w:ascii="Arial" w:hAnsi="Arial"/>
                <w:sz w:val="18"/>
                <w:lang w:val="en-US"/>
              </w:rPr>
              <w:t>addressing some of the</w:t>
            </w:r>
            <w:r w:rsidR="0063741E" w:rsidRPr="003A2249">
              <w:rPr>
                <w:rFonts w:ascii="Arial" w:hAnsi="Arial"/>
                <w:sz w:val="18"/>
                <w:lang w:val="en-US"/>
              </w:rPr>
              <w:t xml:space="preserve"> </w:t>
            </w:r>
            <w:r w:rsidR="00536B7D" w:rsidRPr="003A2249">
              <w:rPr>
                <w:rFonts w:ascii="Arial" w:hAnsi="Arial"/>
                <w:sz w:val="18"/>
                <w:lang w:val="en-US"/>
              </w:rPr>
              <w:t>issues</w:t>
            </w:r>
            <w:r w:rsidR="0063741E" w:rsidRPr="003A2249">
              <w:rPr>
                <w:rFonts w:ascii="Arial" w:hAnsi="Arial"/>
                <w:sz w:val="18"/>
                <w:lang w:val="en-US"/>
              </w:rPr>
              <w:t xml:space="preserve"> </w:t>
            </w:r>
            <w:r w:rsidR="00420F2C" w:rsidRPr="003A2249">
              <w:rPr>
                <w:rFonts w:ascii="Arial" w:hAnsi="Arial"/>
                <w:sz w:val="18"/>
                <w:lang w:val="en-US"/>
              </w:rPr>
              <w:t>with GHS BU and GUF</w:t>
            </w:r>
            <w:r w:rsidR="00536B7D" w:rsidRPr="003A2249">
              <w:rPr>
                <w:rFonts w:ascii="Arial" w:hAnsi="Arial"/>
                <w:sz w:val="18"/>
                <w:lang w:val="en-US"/>
              </w:rPr>
              <w:t xml:space="preserve"> </w:t>
            </w:r>
            <w:r w:rsidR="00115137" w:rsidRPr="003A2249">
              <w:rPr>
                <w:rFonts w:ascii="Arial" w:hAnsi="Arial"/>
                <w:sz w:val="18"/>
                <w:lang w:val="en-US"/>
              </w:rPr>
              <w:t xml:space="preserve">by </w:t>
            </w:r>
            <w:r w:rsidR="006717AF" w:rsidRPr="003A2249">
              <w:rPr>
                <w:rFonts w:ascii="Arial" w:hAnsi="Arial"/>
                <w:sz w:val="18"/>
                <w:lang w:val="en-US"/>
              </w:rPr>
              <w:t xml:space="preserve">using </w:t>
            </w:r>
            <w:r w:rsidR="008721C9" w:rsidRPr="003A2249">
              <w:rPr>
                <w:rFonts w:ascii="Arial" w:hAnsi="Arial"/>
                <w:sz w:val="18"/>
                <w:lang w:val="en-US"/>
              </w:rPr>
              <w:t xml:space="preserve">Landsat 8 and Sentinel 1 radar imagery </w:t>
            </w:r>
            <w:r w:rsidR="006717AF" w:rsidRPr="003A2249">
              <w:rPr>
                <w:rFonts w:ascii="Arial" w:hAnsi="Arial"/>
                <w:sz w:val="18"/>
                <w:lang w:val="en-US"/>
              </w:rPr>
              <w:t>to provide a global overview of the world’s human settlements</w:t>
            </w:r>
            <w:r w:rsidR="00420F2C" w:rsidRPr="003A2249">
              <w:rPr>
                <w:rFonts w:ascii="Arial" w:hAnsi="Arial"/>
                <w:sz w:val="18"/>
                <w:lang w:val="en-US"/>
              </w:rPr>
              <w:t xml:space="preserve"> in </w:t>
            </w:r>
            <w:r w:rsidR="00FB4387" w:rsidRPr="003A2249">
              <w:rPr>
                <w:rFonts w:ascii="Arial" w:hAnsi="Arial"/>
                <w:sz w:val="18"/>
                <w:lang w:val="en-US"/>
              </w:rPr>
              <w:t>10</w:t>
            </w:r>
            <w:r w:rsidR="002631C7" w:rsidRPr="003A2249">
              <w:rPr>
                <w:rFonts w:ascii="Arial" w:hAnsi="Arial"/>
                <w:sz w:val="18"/>
                <w:lang w:val="en-US"/>
              </w:rPr>
              <w:t>-</w:t>
            </w:r>
            <w:r w:rsidR="00FB4387" w:rsidRPr="003A2249">
              <w:rPr>
                <w:rFonts w:ascii="Arial" w:hAnsi="Arial"/>
                <w:sz w:val="18"/>
                <w:lang w:val="en-US"/>
              </w:rPr>
              <w:t>meter resolution.</w:t>
            </w:r>
            <w:r w:rsidR="00090100" w:rsidRPr="003A2249">
              <w:rPr>
                <w:rFonts w:ascii="Arial" w:hAnsi="Arial"/>
                <w:sz w:val="18"/>
                <w:lang w:val="en-US"/>
              </w:rPr>
              <w:t xml:space="preserve"> </w:t>
            </w:r>
            <w:r w:rsidR="00250C13" w:rsidRPr="003A2249">
              <w:rPr>
                <w:rFonts w:ascii="Arial" w:hAnsi="Arial"/>
                <w:sz w:val="18"/>
                <w:lang w:val="en-US"/>
              </w:rPr>
              <w:t xml:space="preserve">Currently, WSF 2015 </w:t>
            </w:r>
            <w:r w:rsidR="00131C11" w:rsidRPr="003A2249">
              <w:rPr>
                <w:rFonts w:ascii="Arial" w:hAnsi="Arial"/>
                <w:sz w:val="18"/>
                <w:lang w:val="en-US"/>
              </w:rPr>
              <w:t>is only available for online visualization</w:t>
            </w:r>
            <w:r w:rsidR="00CA6F1D" w:rsidRPr="003A2249">
              <w:rPr>
                <w:rFonts w:ascii="Arial" w:hAnsi="Arial"/>
                <w:sz w:val="18"/>
                <w:lang w:val="en-US"/>
              </w:rPr>
              <w:t xml:space="preserve"> on</w:t>
            </w:r>
            <w:r w:rsidR="00BA07DA" w:rsidRPr="003A2249">
              <w:rPr>
                <w:rFonts w:ascii="Arial" w:hAnsi="Arial"/>
                <w:sz w:val="18"/>
                <w:lang w:val="en-US"/>
              </w:rPr>
              <w:t xml:space="preserve"> the Urban TEP</w:t>
            </w:r>
            <w:r w:rsidR="005B1D61" w:rsidRPr="003A2249">
              <w:rPr>
                <w:rFonts w:ascii="Arial" w:hAnsi="Arial"/>
                <w:sz w:val="18"/>
                <w:lang w:val="en-US"/>
              </w:rPr>
              <w:t>. I</w:t>
            </w:r>
            <w:r w:rsidR="00E01FFC" w:rsidRPr="003A2249">
              <w:rPr>
                <w:rFonts w:ascii="Arial" w:hAnsi="Arial"/>
                <w:sz w:val="18"/>
                <w:lang w:val="en-US"/>
              </w:rPr>
              <w:t xml:space="preserve">t should be mentioned that ESA </w:t>
            </w:r>
            <w:r w:rsidR="00360BA2" w:rsidRPr="003A2249">
              <w:rPr>
                <w:rFonts w:ascii="Arial" w:hAnsi="Arial"/>
                <w:sz w:val="18"/>
                <w:lang w:val="en-US"/>
              </w:rPr>
              <w:t xml:space="preserve">and DLR </w:t>
            </w:r>
            <w:r w:rsidR="00E01FFC" w:rsidRPr="003A2249">
              <w:rPr>
                <w:rFonts w:ascii="Arial" w:hAnsi="Arial"/>
                <w:sz w:val="18"/>
                <w:lang w:val="en-US"/>
              </w:rPr>
              <w:t>has initiated WSF 2018 an update and evolution of WSF 2015 based on the joint use of Sentinel 1 and Sentinel 2</w:t>
            </w:r>
            <w:r w:rsidR="008F0651" w:rsidRPr="003A2249">
              <w:rPr>
                <w:rFonts w:ascii="Arial" w:hAnsi="Arial"/>
                <w:sz w:val="18"/>
                <w:lang w:val="en-US"/>
              </w:rPr>
              <w:t xml:space="preserve"> imagery</w:t>
            </w:r>
            <w:r w:rsidR="00E01FFC" w:rsidRPr="003A2249">
              <w:rPr>
                <w:rFonts w:ascii="Arial" w:hAnsi="Arial"/>
                <w:sz w:val="18"/>
                <w:lang w:val="en-US"/>
              </w:rPr>
              <w:t>. The WSF 2018 will be freely and openly available</w:t>
            </w:r>
            <w:r w:rsidR="00360BA2" w:rsidRPr="003A2249">
              <w:rPr>
                <w:rFonts w:ascii="Arial" w:hAnsi="Arial"/>
                <w:sz w:val="18"/>
                <w:lang w:val="en-US"/>
              </w:rPr>
              <w:t xml:space="preserve"> by end of 2019</w:t>
            </w:r>
            <w:r w:rsidR="00401F54" w:rsidRPr="003A2249">
              <w:rPr>
                <w:rFonts w:ascii="Arial" w:hAnsi="Arial"/>
                <w:sz w:val="18"/>
                <w:lang w:val="en-US"/>
              </w:rPr>
              <w:t>.</w:t>
            </w:r>
            <w:r w:rsidR="00131C11" w:rsidRPr="003A2249">
              <w:rPr>
                <w:rFonts w:ascii="Arial" w:hAnsi="Arial"/>
                <w:sz w:val="18"/>
                <w:lang w:val="en-US"/>
              </w:rPr>
              <w:t xml:space="preserve"> </w:t>
            </w:r>
            <w:r w:rsidR="00667D53" w:rsidRPr="003A2249">
              <w:rPr>
                <w:rFonts w:ascii="Arial" w:hAnsi="Arial"/>
                <w:sz w:val="18"/>
                <w:lang w:val="en-US"/>
              </w:rPr>
              <w:t xml:space="preserve">The WSF evolution </w:t>
            </w:r>
            <w:r w:rsidR="00D766F6" w:rsidRPr="003A2249">
              <w:rPr>
                <w:rFonts w:ascii="Arial" w:hAnsi="Arial"/>
                <w:sz w:val="18"/>
                <w:lang w:val="en-US"/>
              </w:rPr>
              <w:t xml:space="preserve">(done by DLR in partnership with Google Earth Engine) </w:t>
            </w:r>
            <w:r w:rsidR="00667D53" w:rsidRPr="003A2249">
              <w:rPr>
                <w:rFonts w:ascii="Arial" w:hAnsi="Arial"/>
                <w:sz w:val="18"/>
                <w:lang w:val="en-US"/>
              </w:rPr>
              <w:t xml:space="preserve">should also be mentioned </w:t>
            </w:r>
            <w:r w:rsidR="00B674FC" w:rsidRPr="003A2249">
              <w:rPr>
                <w:rFonts w:ascii="Arial" w:hAnsi="Arial"/>
                <w:sz w:val="18"/>
                <w:lang w:val="en-US"/>
              </w:rPr>
              <w:t>as it will</w:t>
            </w:r>
            <w:r w:rsidR="00667D53" w:rsidRPr="003A2249">
              <w:rPr>
                <w:rFonts w:ascii="Arial" w:hAnsi="Arial"/>
                <w:sz w:val="18"/>
                <w:lang w:val="en-US"/>
              </w:rPr>
              <w:t xml:space="preserve"> </w:t>
            </w:r>
            <w:r w:rsidR="00B674FC" w:rsidRPr="003A2249">
              <w:rPr>
                <w:rFonts w:ascii="Arial" w:hAnsi="Arial"/>
                <w:sz w:val="18"/>
                <w:lang w:val="en-US"/>
              </w:rPr>
              <w:t xml:space="preserve">use Landsat imagery to </w:t>
            </w:r>
            <w:r w:rsidR="002A27F5" w:rsidRPr="003A2249">
              <w:rPr>
                <w:rFonts w:ascii="Arial" w:hAnsi="Arial"/>
                <w:sz w:val="18"/>
                <w:lang w:val="en-US"/>
              </w:rPr>
              <w:t>provide detailed information about the spatiotemporal development for each human settlement identified in the WSF 2015</w:t>
            </w:r>
            <w:r w:rsidR="00D766F6" w:rsidRPr="003A2249">
              <w:rPr>
                <w:rFonts w:ascii="Arial" w:hAnsi="Arial"/>
                <w:sz w:val="18"/>
                <w:lang w:val="en-US"/>
              </w:rPr>
              <w:t>, over the last 30 years</w:t>
            </w:r>
            <w:r w:rsidR="002A27F5" w:rsidRPr="003A2249">
              <w:rPr>
                <w:rFonts w:ascii="Arial" w:hAnsi="Arial"/>
                <w:sz w:val="18"/>
                <w:lang w:val="en-US"/>
              </w:rPr>
              <w:t>.</w:t>
            </w:r>
          </w:p>
          <w:p w14:paraId="235FB454" w14:textId="788AD39E" w:rsidR="002C7B17" w:rsidRPr="003A2249" w:rsidRDefault="00CA6F1D"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An alternative and user driven solution for mapping</w:t>
            </w:r>
            <w:r w:rsidR="00BA07DA" w:rsidRPr="003A2249">
              <w:rPr>
                <w:rFonts w:ascii="Arial" w:hAnsi="Arial"/>
                <w:sz w:val="18"/>
                <w:lang w:val="en-US"/>
              </w:rPr>
              <w:t xml:space="preserve"> built-up areas </w:t>
            </w:r>
            <w:r w:rsidR="00EE51E3" w:rsidRPr="003A2249">
              <w:rPr>
                <w:rFonts w:ascii="Arial" w:hAnsi="Arial"/>
                <w:sz w:val="18"/>
                <w:lang w:val="en-US"/>
              </w:rPr>
              <w:t xml:space="preserve">is </w:t>
            </w:r>
            <w:proofErr w:type="spellStart"/>
            <w:r w:rsidR="00EE51E3" w:rsidRPr="003A2249">
              <w:rPr>
                <w:rFonts w:ascii="Arial" w:hAnsi="Arial"/>
                <w:sz w:val="18"/>
                <w:lang w:val="en-US"/>
              </w:rPr>
              <w:t>Trends.Earth</w:t>
            </w:r>
            <w:proofErr w:type="spellEnd"/>
            <w:r w:rsidR="00EE51E3" w:rsidRPr="003A2249">
              <w:rPr>
                <w:rFonts w:ascii="Arial" w:hAnsi="Arial"/>
                <w:sz w:val="18"/>
                <w:lang w:val="en-US"/>
              </w:rPr>
              <w:t xml:space="preserve"> </w:t>
            </w:r>
            <w:r w:rsidR="00D65B7F" w:rsidRPr="003A2249">
              <w:rPr>
                <w:rFonts w:ascii="Arial" w:hAnsi="Arial"/>
                <w:sz w:val="18"/>
                <w:lang w:val="en-US"/>
              </w:rPr>
              <w:t xml:space="preserve">Urban Mapper </w:t>
            </w:r>
            <w:r w:rsidR="0009015D" w:rsidRPr="003A2249">
              <w:rPr>
                <w:rFonts w:ascii="Arial" w:hAnsi="Arial"/>
                <w:sz w:val="18"/>
                <w:lang w:val="en-US"/>
              </w:rPr>
              <w:t xml:space="preserve">which is an online interactive platform </w:t>
            </w:r>
            <w:r w:rsidR="00D766F6" w:rsidRPr="003A2249">
              <w:rPr>
                <w:rFonts w:ascii="Arial" w:hAnsi="Arial"/>
                <w:sz w:val="18"/>
                <w:lang w:val="en-US"/>
              </w:rPr>
              <w:t xml:space="preserve">developed by Conservation International (CI) in partnership with NASA, </w:t>
            </w:r>
            <w:r w:rsidR="0009015D" w:rsidRPr="003A2249">
              <w:rPr>
                <w:rFonts w:ascii="Arial" w:hAnsi="Arial"/>
                <w:sz w:val="18"/>
                <w:lang w:val="en-US"/>
              </w:rPr>
              <w:t xml:space="preserve">for mapping </w:t>
            </w:r>
            <w:r w:rsidR="008314AD" w:rsidRPr="003A2249">
              <w:rPr>
                <w:rFonts w:ascii="Arial" w:hAnsi="Arial"/>
                <w:sz w:val="18"/>
                <w:lang w:val="en-US"/>
              </w:rPr>
              <w:t xml:space="preserve">built-up and non-built up impervious areas </w:t>
            </w:r>
            <w:r w:rsidR="001E2048" w:rsidRPr="003A2249">
              <w:rPr>
                <w:rFonts w:ascii="Arial" w:hAnsi="Arial"/>
                <w:sz w:val="18"/>
                <w:lang w:val="en-US"/>
              </w:rPr>
              <w:t>from archived Landsat imagery</w:t>
            </w:r>
            <w:r w:rsidR="00370879" w:rsidRPr="003A2249">
              <w:rPr>
                <w:rFonts w:ascii="Arial" w:hAnsi="Arial"/>
                <w:sz w:val="18"/>
                <w:lang w:val="en-US"/>
              </w:rPr>
              <w:t xml:space="preserve"> (i.e. from 2000 t</w:t>
            </w:r>
            <w:r w:rsidR="001E3445" w:rsidRPr="003A2249">
              <w:rPr>
                <w:rFonts w:ascii="Arial" w:hAnsi="Arial"/>
                <w:sz w:val="18"/>
                <w:lang w:val="en-US"/>
              </w:rPr>
              <w:t>o</w:t>
            </w:r>
            <w:r w:rsidR="00370879" w:rsidRPr="003A2249">
              <w:rPr>
                <w:rFonts w:ascii="Arial" w:hAnsi="Arial"/>
                <w:sz w:val="18"/>
                <w:lang w:val="en-US"/>
              </w:rPr>
              <w:t xml:space="preserve"> 2015)</w:t>
            </w:r>
            <w:r w:rsidR="001E2048" w:rsidRPr="003A2249">
              <w:rPr>
                <w:rFonts w:ascii="Arial" w:hAnsi="Arial"/>
                <w:sz w:val="18"/>
                <w:lang w:val="en-US"/>
              </w:rPr>
              <w:t>.</w:t>
            </w:r>
            <w:r w:rsidRPr="003A2249">
              <w:rPr>
                <w:rFonts w:ascii="Arial" w:hAnsi="Arial"/>
                <w:sz w:val="18"/>
                <w:lang w:val="en-US"/>
              </w:rPr>
              <w:t xml:space="preserve"> </w:t>
            </w:r>
            <w:r w:rsidR="00090100" w:rsidRPr="003A2249">
              <w:rPr>
                <w:rFonts w:ascii="Arial" w:hAnsi="Arial"/>
                <w:sz w:val="18"/>
                <w:lang w:val="en-US"/>
              </w:rPr>
              <w:t xml:space="preserve">For more information on </w:t>
            </w:r>
            <w:r w:rsidR="00231B81" w:rsidRPr="003A2249">
              <w:rPr>
                <w:rFonts w:ascii="Arial" w:hAnsi="Arial"/>
                <w:sz w:val="18"/>
                <w:lang w:val="en-US"/>
              </w:rPr>
              <w:t xml:space="preserve">the global datasets </w:t>
            </w:r>
            <w:r w:rsidR="00EE51E3" w:rsidRPr="003A2249">
              <w:rPr>
                <w:rFonts w:ascii="Arial" w:hAnsi="Arial"/>
                <w:sz w:val="18"/>
                <w:lang w:val="en-US"/>
              </w:rPr>
              <w:t xml:space="preserve">and platforms </w:t>
            </w:r>
            <w:r w:rsidR="00231B81" w:rsidRPr="003A2249">
              <w:rPr>
                <w:rFonts w:ascii="Arial" w:hAnsi="Arial"/>
                <w:sz w:val="18"/>
                <w:lang w:val="en-US"/>
              </w:rPr>
              <w:t xml:space="preserve">please refer to </w:t>
            </w:r>
            <w:r w:rsidR="002631C7" w:rsidRPr="003A2249">
              <w:rPr>
                <w:rFonts w:ascii="Arial" w:hAnsi="Arial"/>
                <w:sz w:val="18"/>
                <w:lang w:val="en-US"/>
              </w:rPr>
              <w:t>next section.</w:t>
            </w:r>
          </w:p>
          <w:p w14:paraId="0074358A" w14:textId="72A81CCB" w:rsidR="00866711" w:rsidRPr="003A2249" w:rsidRDefault="0036776C"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By using </w:t>
            </w:r>
            <w:r w:rsidR="00FD5E82" w:rsidRPr="003A2249">
              <w:rPr>
                <w:rFonts w:ascii="Arial" w:hAnsi="Arial"/>
                <w:sz w:val="18"/>
                <w:lang w:val="en-US"/>
              </w:rPr>
              <w:t xml:space="preserve">global datasets </w:t>
            </w:r>
            <w:r w:rsidRPr="003A2249">
              <w:rPr>
                <w:rFonts w:ascii="Arial" w:hAnsi="Arial"/>
                <w:sz w:val="18"/>
                <w:lang w:val="en-US"/>
              </w:rPr>
              <w:t xml:space="preserve">users </w:t>
            </w:r>
            <w:r w:rsidR="00742637" w:rsidRPr="003A2249">
              <w:rPr>
                <w:rFonts w:ascii="Arial" w:hAnsi="Arial"/>
                <w:sz w:val="18"/>
                <w:lang w:val="en-US"/>
              </w:rPr>
              <w:t xml:space="preserve">will be restricted </w:t>
            </w:r>
            <w:r w:rsidR="002414D3" w:rsidRPr="003A2249">
              <w:rPr>
                <w:rFonts w:ascii="Arial" w:hAnsi="Arial"/>
                <w:sz w:val="18"/>
                <w:lang w:val="en-US"/>
              </w:rPr>
              <w:t xml:space="preserve">e.g. </w:t>
            </w:r>
            <w:r w:rsidR="00742637" w:rsidRPr="003A2249">
              <w:rPr>
                <w:rFonts w:ascii="Arial" w:hAnsi="Arial"/>
                <w:sz w:val="18"/>
                <w:lang w:val="en-US"/>
              </w:rPr>
              <w:t xml:space="preserve">in </w:t>
            </w:r>
            <w:r w:rsidR="00153B9B" w:rsidRPr="003A2249">
              <w:rPr>
                <w:rFonts w:ascii="Arial" w:hAnsi="Arial"/>
                <w:sz w:val="18"/>
                <w:lang w:val="en-US"/>
              </w:rPr>
              <w:t xml:space="preserve">terms of </w:t>
            </w:r>
            <w:r w:rsidR="00866711" w:rsidRPr="003A2249">
              <w:rPr>
                <w:rFonts w:ascii="Arial" w:hAnsi="Arial"/>
                <w:sz w:val="18"/>
                <w:lang w:val="en-US"/>
              </w:rPr>
              <w:t>definitions,</w:t>
            </w:r>
            <w:r w:rsidR="00153B9B" w:rsidRPr="003A2249">
              <w:rPr>
                <w:rFonts w:ascii="Arial" w:hAnsi="Arial"/>
                <w:sz w:val="18"/>
                <w:lang w:val="en-US"/>
              </w:rPr>
              <w:t xml:space="preserve"> </w:t>
            </w:r>
            <w:r w:rsidR="008E7A5D" w:rsidRPr="003A2249">
              <w:rPr>
                <w:rFonts w:ascii="Arial" w:hAnsi="Arial"/>
                <w:sz w:val="18"/>
                <w:lang w:val="en-US"/>
              </w:rPr>
              <w:t xml:space="preserve">available reference years </w:t>
            </w:r>
            <w:r w:rsidR="00D4002B" w:rsidRPr="003A2249">
              <w:rPr>
                <w:rFonts w:ascii="Arial" w:hAnsi="Arial"/>
                <w:sz w:val="18"/>
                <w:lang w:val="en-US"/>
              </w:rPr>
              <w:t>and the spatial resolution</w:t>
            </w:r>
            <w:r w:rsidR="00AE4A1B" w:rsidRPr="003A2249">
              <w:rPr>
                <w:rFonts w:ascii="Arial" w:hAnsi="Arial"/>
                <w:sz w:val="18"/>
                <w:lang w:val="en-US"/>
              </w:rPr>
              <w:t>.</w:t>
            </w:r>
            <w:r w:rsidR="008E7A5D" w:rsidRPr="003A2249">
              <w:rPr>
                <w:rFonts w:ascii="Arial" w:hAnsi="Arial"/>
                <w:sz w:val="18"/>
                <w:lang w:val="en-US"/>
              </w:rPr>
              <w:t xml:space="preserve"> </w:t>
            </w:r>
            <w:r w:rsidR="00866711" w:rsidRPr="003A2249">
              <w:rPr>
                <w:rFonts w:ascii="Arial" w:hAnsi="Arial"/>
                <w:sz w:val="18"/>
                <w:lang w:val="en-US"/>
              </w:rPr>
              <w:t xml:space="preserve">By example, the definition of built-up area adopted by GHS BU, GUF and WSF only consider the extent of buildings i.e. impervious areas with vertical dimension and hence </w:t>
            </w:r>
            <w:r w:rsidR="00B24E64" w:rsidRPr="003A2249">
              <w:rPr>
                <w:rFonts w:ascii="Arial" w:hAnsi="Arial"/>
                <w:sz w:val="18"/>
                <w:lang w:val="en-US"/>
              </w:rPr>
              <w:t xml:space="preserve">excluding </w:t>
            </w:r>
            <w:r w:rsidR="00866711" w:rsidRPr="003A2249">
              <w:rPr>
                <w:rFonts w:ascii="Arial" w:hAnsi="Arial"/>
                <w:sz w:val="18"/>
                <w:lang w:val="en-US"/>
              </w:rPr>
              <w:t>streets and park</w:t>
            </w:r>
            <w:r w:rsidR="00B24E64" w:rsidRPr="003A2249">
              <w:rPr>
                <w:rFonts w:ascii="Arial" w:hAnsi="Arial"/>
                <w:sz w:val="18"/>
                <w:lang w:val="en-US"/>
              </w:rPr>
              <w:t xml:space="preserve">ing lots which is part of the urban extent definition under SDG 11.3.1. While </w:t>
            </w:r>
            <w:proofErr w:type="spellStart"/>
            <w:r w:rsidR="00B24E64" w:rsidRPr="003A2249">
              <w:rPr>
                <w:rFonts w:ascii="Arial" w:hAnsi="Arial"/>
                <w:sz w:val="18"/>
                <w:lang w:val="en-US"/>
              </w:rPr>
              <w:t>Trends.Earth</w:t>
            </w:r>
            <w:proofErr w:type="spellEnd"/>
            <w:r w:rsidR="00B24E64" w:rsidRPr="003A2249">
              <w:rPr>
                <w:rFonts w:ascii="Arial" w:hAnsi="Arial"/>
                <w:sz w:val="18"/>
                <w:lang w:val="en-US"/>
              </w:rPr>
              <w:t xml:space="preserve"> Urban Mapper is better aligned in terms of the built-up area definition then the approach is restricted Landsat imagery which has an inferior spatial resolution compared to Sentinel imagery.</w:t>
            </w:r>
          </w:p>
          <w:p w14:paraId="4F8473DB" w14:textId="07F29614" w:rsidR="00FD5E82" w:rsidRPr="003A2249" w:rsidRDefault="00AE4A1B"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These</w:t>
            </w:r>
            <w:r w:rsidR="008E7A5D" w:rsidRPr="003A2249">
              <w:rPr>
                <w:rFonts w:ascii="Arial" w:hAnsi="Arial"/>
                <w:sz w:val="18"/>
                <w:lang w:val="en-US"/>
              </w:rPr>
              <w:t xml:space="preserve"> issues can be addressed and controlled by </w:t>
            </w:r>
            <w:r w:rsidR="008E0D74" w:rsidRPr="003A2249">
              <w:rPr>
                <w:rFonts w:ascii="Arial" w:hAnsi="Arial"/>
                <w:sz w:val="18"/>
                <w:lang w:val="en-US"/>
              </w:rPr>
              <w:t xml:space="preserve">countries </w:t>
            </w:r>
            <w:r w:rsidR="00815002" w:rsidRPr="003A2249">
              <w:rPr>
                <w:rFonts w:ascii="Arial" w:hAnsi="Arial"/>
                <w:sz w:val="18"/>
                <w:lang w:val="en-US"/>
              </w:rPr>
              <w:t xml:space="preserve">if they </w:t>
            </w:r>
            <w:r w:rsidR="00306933" w:rsidRPr="003A2249">
              <w:rPr>
                <w:rFonts w:ascii="Arial" w:hAnsi="Arial"/>
                <w:sz w:val="18"/>
                <w:lang w:val="en-US"/>
              </w:rPr>
              <w:t xml:space="preserve">invest </w:t>
            </w:r>
            <w:r w:rsidR="00F025C7" w:rsidRPr="003A2249">
              <w:rPr>
                <w:rFonts w:ascii="Arial" w:hAnsi="Arial"/>
                <w:sz w:val="18"/>
                <w:lang w:val="en-US"/>
              </w:rPr>
              <w:t xml:space="preserve">their own </w:t>
            </w:r>
            <w:r w:rsidR="00306933" w:rsidRPr="003A2249">
              <w:rPr>
                <w:rFonts w:ascii="Arial" w:hAnsi="Arial"/>
                <w:sz w:val="18"/>
                <w:lang w:val="en-US"/>
              </w:rPr>
              <w:t xml:space="preserve">resources in the mapping of built up areas. </w:t>
            </w:r>
            <w:r w:rsidR="00D3253B" w:rsidRPr="003A2249">
              <w:rPr>
                <w:rFonts w:ascii="Arial" w:hAnsi="Arial"/>
                <w:sz w:val="18"/>
                <w:lang w:val="en-US"/>
              </w:rPr>
              <w:t>By example</w:t>
            </w:r>
            <w:r w:rsidR="00306933" w:rsidRPr="003A2249">
              <w:rPr>
                <w:rFonts w:ascii="Arial" w:hAnsi="Arial"/>
                <w:sz w:val="18"/>
                <w:lang w:val="en-US"/>
              </w:rPr>
              <w:t xml:space="preserve">, countries such as </w:t>
            </w:r>
            <w:r w:rsidR="00D3253B" w:rsidRPr="003A2249">
              <w:rPr>
                <w:rFonts w:ascii="Arial" w:hAnsi="Arial"/>
                <w:sz w:val="18"/>
                <w:lang w:val="en-US"/>
              </w:rPr>
              <w:t>Mex</w:t>
            </w:r>
            <w:r w:rsidR="00964641" w:rsidRPr="003A2249">
              <w:rPr>
                <w:rFonts w:ascii="Arial" w:hAnsi="Arial"/>
                <w:sz w:val="18"/>
                <w:lang w:val="en-US"/>
              </w:rPr>
              <w:t>i</w:t>
            </w:r>
            <w:r w:rsidR="00D3253B" w:rsidRPr="003A2249">
              <w:rPr>
                <w:rFonts w:ascii="Arial" w:hAnsi="Arial"/>
                <w:sz w:val="18"/>
                <w:lang w:val="en-US"/>
              </w:rPr>
              <w:t>co and Col</w:t>
            </w:r>
            <w:r w:rsidR="00964641" w:rsidRPr="003A2249">
              <w:rPr>
                <w:rFonts w:ascii="Arial" w:hAnsi="Arial"/>
                <w:sz w:val="18"/>
                <w:lang w:val="en-US"/>
              </w:rPr>
              <w:t>o</w:t>
            </w:r>
            <w:r w:rsidR="00D3253B" w:rsidRPr="003A2249">
              <w:rPr>
                <w:rFonts w:ascii="Arial" w:hAnsi="Arial"/>
                <w:sz w:val="18"/>
                <w:lang w:val="en-US"/>
              </w:rPr>
              <w:t xml:space="preserve">mbia </w:t>
            </w:r>
            <w:r w:rsidR="00F025C7" w:rsidRPr="003A2249">
              <w:rPr>
                <w:rFonts w:ascii="Arial" w:hAnsi="Arial"/>
                <w:sz w:val="18"/>
                <w:lang w:val="en-US"/>
              </w:rPr>
              <w:t>are</w:t>
            </w:r>
            <w:r w:rsidR="00D3253B" w:rsidRPr="003A2249">
              <w:rPr>
                <w:rFonts w:ascii="Arial" w:hAnsi="Arial"/>
                <w:sz w:val="18"/>
                <w:lang w:val="en-US"/>
              </w:rPr>
              <w:t xml:space="preserve"> </w:t>
            </w:r>
            <w:r w:rsidR="00306933" w:rsidRPr="003A2249">
              <w:rPr>
                <w:rFonts w:ascii="Arial" w:hAnsi="Arial"/>
                <w:sz w:val="18"/>
                <w:lang w:val="en-US"/>
              </w:rPr>
              <w:t>already</w:t>
            </w:r>
            <w:r w:rsidR="00D3253B" w:rsidRPr="003A2249">
              <w:rPr>
                <w:rFonts w:ascii="Arial" w:hAnsi="Arial"/>
                <w:sz w:val="18"/>
                <w:lang w:val="en-US"/>
              </w:rPr>
              <w:t xml:space="preserve"> </w:t>
            </w:r>
            <w:r w:rsidR="00D22E10" w:rsidRPr="003A2249">
              <w:rPr>
                <w:rFonts w:ascii="Arial" w:hAnsi="Arial"/>
                <w:sz w:val="18"/>
                <w:lang w:val="en-US"/>
              </w:rPr>
              <w:t xml:space="preserve">developing Geospatial Data Cubes to enable processing and analysis of satellite images </w:t>
            </w:r>
            <w:r w:rsidR="00BD0A62" w:rsidRPr="003A2249">
              <w:rPr>
                <w:rFonts w:ascii="Arial" w:hAnsi="Arial"/>
                <w:sz w:val="18"/>
                <w:lang w:val="en-US"/>
              </w:rPr>
              <w:t>for mapping built-up areas as well as other critical land surface indicators.</w:t>
            </w:r>
          </w:p>
          <w:p w14:paraId="2995C4D9" w14:textId="1301694D" w:rsidR="002C7B17" w:rsidRPr="003A2249" w:rsidRDefault="002C7B17" w:rsidP="00B24E64">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Today, </w:t>
            </w:r>
            <w:r w:rsidR="00445B8D" w:rsidRPr="003A2249">
              <w:rPr>
                <w:rFonts w:ascii="Arial" w:hAnsi="Arial"/>
                <w:sz w:val="18"/>
                <w:lang w:val="en-US"/>
              </w:rPr>
              <w:t xml:space="preserve">the most realistic and </w:t>
            </w:r>
            <w:r w:rsidR="006528F0" w:rsidRPr="003A2249">
              <w:rPr>
                <w:rFonts w:ascii="Arial" w:hAnsi="Arial"/>
                <w:sz w:val="18"/>
                <w:lang w:val="en-US"/>
              </w:rPr>
              <w:t>feasible option for national built</w:t>
            </w:r>
            <w:r w:rsidR="00DD13EA" w:rsidRPr="003A2249">
              <w:rPr>
                <w:rFonts w:ascii="Arial" w:hAnsi="Arial"/>
                <w:sz w:val="18"/>
                <w:lang w:val="en-US"/>
              </w:rPr>
              <w:t>-</w:t>
            </w:r>
            <w:r w:rsidR="006528F0" w:rsidRPr="003A2249">
              <w:rPr>
                <w:rFonts w:ascii="Arial" w:hAnsi="Arial"/>
                <w:sz w:val="18"/>
                <w:lang w:val="en-US"/>
              </w:rPr>
              <w:t xml:space="preserve">up area mapping is to use </w:t>
            </w:r>
            <w:r w:rsidRPr="003A2249">
              <w:rPr>
                <w:rFonts w:ascii="Arial" w:hAnsi="Arial"/>
                <w:sz w:val="18"/>
                <w:lang w:val="en-US"/>
              </w:rPr>
              <w:t xml:space="preserve">the freely available datasets </w:t>
            </w:r>
            <w:r w:rsidR="00797616" w:rsidRPr="003A2249">
              <w:rPr>
                <w:rFonts w:ascii="Arial" w:hAnsi="Arial"/>
                <w:sz w:val="18"/>
                <w:lang w:val="en-US"/>
              </w:rPr>
              <w:t>provided by the European Sentinel-1 (SAR) and Sentinel-2 (multispectral) as well as the US Landsat (multispectral) missions</w:t>
            </w:r>
            <w:r w:rsidR="007B401B" w:rsidRPr="003A2249">
              <w:rPr>
                <w:rFonts w:ascii="Arial" w:hAnsi="Arial"/>
                <w:sz w:val="18"/>
                <w:lang w:val="en-US"/>
              </w:rPr>
              <w:t xml:space="preserve">. These open </w:t>
            </w:r>
            <w:r w:rsidR="002A346B" w:rsidRPr="003A2249">
              <w:rPr>
                <w:rFonts w:ascii="Arial" w:hAnsi="Arial"/>
                <w:sz w:val="18"/>
                <w:lang w:val="en-US"/>
              </w:rPr>
              <w:t xml:space="preserve">datasets </w:t>
            </w:r>
            <w:r w:rsidRPr="003A2249">
              <w:rPr>
                <w:rFonts w:ascii="Arial" w:hAnsi="Arial"/>
                <w:sz w:val="18"/>
                <w:lang w:val="en-US"/>
              </w:rPr>
              <w:t xml:space="preserve">provide systematic multi-sensor acquisitions in </w:t>
            </w:r>
            <w:proofErr w:type="gramStart"/>
            <w:r w:rsidR="007A2103" w:rsidRPr="003A2249">
              <w:rPr>
                <w:rFonts w:ascii="Arial" w:hAnsi="Arial"/>
                <w:sz w:val="18"/>
                <w:lang w:val="en-US"/>
              </w:rPr>
              <w:t>10-30 meter</w:t>
            </w:r>
            <w:proofErr w:type="gramEnd"/>
            <w:r w:rsidRPr="003A2249">
              <w:rPr>
                <w:rFonts w:ascii="Arial" w:hAnsi="Arial"/>
                <w:sz w:val="18"/>
                <w:lang w:val="en-US"/>
              </w:rPr>
              <w:t xml:space="preserve"> resolution with a huge potential for advancing </w:t>
            </w:r>
            <w:r w:rsidR="002A346B" w:rsidRPr="003A2249">
              <w:rPr>
                <w:rFonts w:ascii="Arial" w:hAnsi="Arial"/>
                <w:sz w:val="18"/>
                <w:lang w:val="en-US"/>
              </w:rPr>
              <w:t>the</w:t>
            </w:r>
            <w:r w:rsidRPr="003A2249">
              <w:rPr>
                <w:rFonts w:ascii="Arial" w:hAnsi="Arial"/>
                <w:sz w:val="18"/>
                <w:lang w:val="en-US"/>
              </w:rPr>
              <w:t xml:space="preserve"> mapping</w:t>
            </w:r>
            <w:r w:rsidR="002A346B" w:rsidRPr="003A2249">
              <w:rPr>
                <w:rFonts w:ascii="Arial" w:hAnsi="Arial"/>
                <w:sz w:val="18"/>
                <w:lang w:val="en-US"/>
              </w:rPr>
              <w:t xml:space="preserve"> </w:t>
            </w:r>
            <w:r w:rsidR="001E45FF" w:rsidRPr="003A2249">
              <w:rPr>
                <w:rFonts w:ascii="Arial" w:hAnsi="Arial"/>
                <w:sz w:val="18"/>
                <w:lang w:val="en-US"/>
              </w:rPr>
              <w:t xml:space="preserve">of </w:t>
            </w:r>
            <w:r w:rsidR="002A346B" w:rsidRPr="003A2249">
              <w:rPr>
                <w:rFonts w:ascii="Arial" w:hAnsi="Arial"/>
                <w:sz w:val="18"/>
                <w:lang w:val="en-US"/>
              </w:rPr>
              <w:t>built-up areas</w:t>
            </w:r>
            <w:r w:rsidRPr="003A2249">
              <w:rPr>
                <w:rFonts w:ascii="Arial" w:hAnsi="Arial"/>
                <w:sz w:val="18"/>
                <w:lang w:val="en-US"/>
              </w:rPr>
              <w:t xml:space="preserve">. The </w:t>
            </w:r>
            <w:r w:rsidR="00D607F2" w:rsidRPr="003A2249">
              <w:rPr>
                <w:rFonts w:ascii="Arial" w:hAnsi="Arial"/>
                <w:sz w:val="18"/>
                <w:lang w:val="en-US"/>
              </w:rPr>
              <w:t xml:space="preserve">full </w:t>
            </w:r>
            <w:r w:rsidRPr="003A2249">
              <w:rPr>
                <w:rFonts w:ascii="Arial" w:hAnsi="Arial"/>
                <w:sz w:val="18"/>
                <w:lang w:val="en-US"/>
              </w:rPr>
              <w:t xml:space="preserve">potential of the Sentinels to improve </w:t>
            </w:r>
            <w:r w:rsidR="00D607F2" w:rsidRPr="003A2249">
              <w:rPr>
                <w:rFonts w:ascii="Arial" w:hAnsi="Arial"/>
                <w:sz w:val="18"/>
                <w:lang w:val="en-US"/>
              </w:rPr>
              <w:t>built-up area</w:t>
            </w:r>
            <w:r w:rsidRPr="003A2249">
              <w:rPr>
                <w:rFonts w:ascii="Arial" w:hAnsi="Arial"/>
                <w:sz w:val="18"/>
                <w:lang w:val="en-US"/>
              </w:rPr>
              <w:t xml:space="preserve"> mapping is yet to be realized into public domain products</w:t>
            </w:r>
            <w:r w:rsidR="00EA70B1" w:rsidRPr="003A2249">
              <w:rPr>
                <w:rFonts w:ascii="Arial" w:hAnsi="Arial"/>
                <w:sz w:val="18"/>
                <w:lang w:val="en-US"/>
              </w:rPr>
              <w:t xml:space="preserve">, </w:t>
            </w:r>
            <w:r w:rsidR="005537AE" w:rsidRPr="003A2249">
              <w:rPr>
                <w:rFonts w:ascii="Arial" w:hAnsi="Arial"/>
                <w:sz w:val="18"/>
                <w:lang w:val="en-US"/>
              </w:rPr>
              <w:t xml:space="preserve">but open source </w:t>
            </w:r>
            <w:r w:rsidR="00CD3577" w:rsidRPr="003A2249">
              <w:rPr>
                <w:rFonts w:ascii="Arial" w:hAnsi="Arial"/>
                <w:sz w:val="18"/>
                <w:lang w:val="en-US"/>
              </w:rPr>
              <w:t xml:space="preserve">tools </w:t>
            </w:r>
            <w:r w:rsidR="003E65A9" w:rsidRPr="003A2249">
              <w:rPr>
                <w:rFonts w:ascii="Arial" w:hAnsi="Arial"/>
                <w:sz w:val="18"/>
                <w:lang w:val="en-US"/>
              </w:rPr>
              <w:t xml:space="preserve">such as </w:t>
            </w:r>
            <w:r w:rsidR="00CD3577" w:rsidRPr="003A2249">
              <w:rPr>
                <w:rFonts w:ascii="Arial" w:hAnsi="Arial"/>
                <w:sz w:val="18"/>
                <w:lang w:val="en-US"/>
              </w:rPr>
              <w:t>SNAP</w:t>
            </w:r>
            <w:r w:rsidR="003E65A9" w:rsidRPr="003A2249">
              <w:rPr>
                <w:rFonts w:ascii="Arial" w:hAnsi="Arial"/>
                <w:sz w:val="18"/>
                <w:lang w:val="en-US"/>
              </w:rPr>
              <w:t xml:space="preserve">, QGIS, </w:t>
            </w:r>
            <w:r w:rsidR="00CD3577" w:rsidRPr="003A2249">
              <w:rPr>
                <w:rFonts w:ascii="Arial" w:hAnsi="Arial"/>
                <w:sz w:val="18"/>
                <w:lang w:val="en-US"/>
              </w:rPr>
              <w:t xml:space="preserve">and Massive </w:t>
            </w:r>
            <w:r w:rsidR="00CD3577" w:rsidRPr="003A2249">
              <w:rPr>
                <w:rFonts w:ascii="Arial" w:hAnsi="Arial"/>
                <w:sz w:val="18"/>
                <w:lang w:val="en-US"/>
              </w:rPr>
              <w:lastRenderedPageBreak/>
              <w:t>Spatial Automatic Data Analytics</w:t>
            </w:r>
            <w:r w:rsidR="00E562CB" w:rsidRPr="003A2249">
              <w:rPr>
                <w:rFonts w:ascii="Arial" w:hAnsi="Arial"/>
                <w:sz w:val="18"/>
                <w:lang w:val="en-US"/>
              </w:rPr>
              <w:t xml:space="preserve"> can all support the mapping of built-up areas from </w:t>
            </w:r>
            <w:r w:rsidR="00FD4885" w:rsidRPr="003A2249">
              <w:rPr>
                <w:rFonts w:ascii="Arial" w:hAnsi="Arial"/>
                <w:sz w:val="18"/>
                <w:lang w:val="en-US"/>
              </w:rPr>
              <w:t>Earth Observation</w:t>
            </w:r>
            <w:r w:rsidRPr="003A2249">
              <w:rPr>
                <w:rFonts w:ascii="Arial" w:hAnsi="Arial"/>
                <w:sz w:val="18"/>
                <w:lang w:val="en-US"/>
              </w:rPr>
              <w:t>.</w:t>
            </w:r>
            <w:r w:rsidRPr="003A2249">
              <w:rPr>
                <w:lang w:val="en-US"/>
              </w:rPr>
              <w:t xml:space="preserve"> </w:t>
            </w:r>
            <w:r w:rsidR="00FD4885" w:rsidRPr="003A2249">
              <w:rPr>
                <w:rFonts w:ascii="Arial" w:hAnsi="Arial"/>
                <w:sz w:val="18"/>
                <w:lang w:val="en-US"/>
              </w:rPr>
              <w:t>Users should be aware</w:t>
            </w:r>
            <w:r w:rsidRPr="003A2249">
              <w:rPr>
                <w:rFonts w:ascii="Arial" w:hAnsi="Arial"/>
                <w:sz w:val="18"/>
                <w:lang w:val="en-US"/>
              </w:rPr>
              <w:t xml:space="preserve"> that significant computing and data storage resources are required when working at national scale with annual or longer timeseries of Sentinel-1 and Sentinel-2 data</w:t>
            </w:r>
            <w:r w:rsidR="00B24E64" w:rsidRPr="003A2249">
              <w:rPr>
                <w:rFonts w:ascii="Arial" w:hAnsi="Arial"/>
                <w:sz w:val="18"/>
                <w:lang w:val="en-US"/>
              </w:rPr>
              <w:t>.</w:t>
            </w:r>
            <w:r w:rsidR="00494157" w:rsidRPr="003A2249">
              <w:t xml:space="preserve"> </w:t>
            </w:r>
            <w:r w:rsidR="00B674FC" w:rsidRPr="003A2249">
              <w:rPr>
                <w:rFonts w:ascii="Arial" w:hAnsi="Arial"/>
                <w:sz w:val="18"/>
                <w:lang w:val="en-US"/>
              </w:rPr>
              <w:t>Therefore,</w:t>
            </w:r>
            <w:r w:rsidR="00B24E64" w:rsidRPr="003A2249">
              <w:rPr>
                <w:rFonts w:ascii="Arial" w:hAnsi="Arial"/>
                <w:sz w:val="18"/>
                <w:lang w:val="en-US"/>
              </w:rPr>
              <w:t xml:space="preserve"> linkages to existing and well-established data infrastructures or Cloud Platforms with co-located satellite datasets (e.g. Google Earth Engine, DIAS etc.) </w:t>
            </w:r>
            <w:r w:rsidR="00B674FC" w:rsidRPr="003A2249">
              <w:rPr>
                <w:rFonts w:ascii="Arial" w:hAnsi="Arial"/>
                <w:sz w:val="18"/>
                <w:lang w:val="en-US"/>
              </w:rPr>
              <w:t>need to</w:t>
            </w:r>
            <w:r w:rsidR="00B24E64" w:rsidRPr="003A2249">
              <w:rPr>
                <w:rFonts w:ascii="Arial" w:hAnsi="Arial"/>
                <w:sz w:val="18"/>
                <w:lang w:val="en-US"/>
              </w:rPr>
              <w:t xml:space="preserve"> be considered</w:t>
            </w:r>
            <w:r w:rsidR="00B674FC" w:rsidRPr="003A2249">
              <w:rPr>
                <w:rFonts w:ascii="Arial" w:hAnsi="Arial"/>
                <w:sz w:val="18"/>
                <w:lang w:val="en-US"/>
              </w:rPr>
              <w:t>, and it is recommended that</w:t>
            </w:r>
            <w:r w:rsidRPr="003A2249">
              <w:rPr>
                <w:rFonts w:ascii="Arial" w:hAnsi="Arial"/>
                <w:sz w:val="18"/>
                <w:lang w:val="en-US"/>
              </w:rPr>
              <w:t xml:space="preserve"> countries who want to pursue their own mapping should evaluate the requirement for assistance from a national entity/GIS unit or assistance from a specialized service provider.</w:t>
            </w:r>
            <w:r w:rsidR="0040254D" w:rsidRPr="003A2249">
              <w:rPr>
                <w:rFonts w:ascii="Arial" w:hAnsi="Arial"/>
                <w:sz w:val="18"/>
                <w:lang w:val="en-US"/>
              </w:rPr>
              <w:t xml:space="preserve"> </w:t>
            </w:r>
            <w:r w:rsidR="00B24E64" w:rsidRPr="003A2249">
              <w:rPr>
                <w:rFonts w:ascii="Arial" w:hAnsi="Arial"/>
                <w:sz w:val="18"/>
                <w:lang w:val="en-US"/>
              </w:rPr>
              <w:t xml:space="preserve"> </w:t>
            </w:r>
          </w:p>
          <w:p w14:paraId="14181B2B" w14:textId="28135158" w:rsidR="00804756" w:rsidRPr="003A2249" w:rsidRDefault="00186E33"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It is also worth mentioning that </w:t>
            </w:r>
            <w:r w:rsidR="00A35454" w:rsidRPr="003A2249">
              <w:rPr>
                <w:rFonts w:ascii="Arial" w:hAnsi="Arial"/>
                <w:sz w:val="18"/>
                <w:lang w:val="en-US"/>
              </w:rPr>
              <w:t>commercial satellite imagery</w:t>
            </w:r>
            <w:r w:rsidR="00296BA6" w:rsidRPr="003A2249">
              <w:rPr>
                <w:rFonts w:ascii="Arial" w:hAnsi="Arial"/>
                <w:sz w:val="18"/>
                <w:lang w:val="en-US"/>
              </w:rPr>
              <w:t xml:space="preserve"> </w:t>
            </w:r>
            <w:r w:rsidR="003C355A" w:rsidRPr="003A2249">
              <w:rPr>
                <w:rFonts w:ascii="Arial" w:hAnsi="Arial"/>
                <w:sz w:val="18"/>
                <w:lang w:val="en-US"/>
              </w:rPr>
              <w:t>with</w:t>
            </w:r>
            <w:r w:rsidR="00296BA6" w:rsidRPr="003A2249">
              <w:rPr>
                <w:rFonts w:ascii="Arial" w:hAnsi="Arial"/>
                <w:sz w:val="18"/>
                <w:lang w:val="en-US"/>
              </w:rPr>
              <w:t xml:space="preserve"> </w:t>
            </w:r>
            <w:r w:rsidR="003C355A" w:rsidRPr="003A2249">
              <w:rPr>
                <w:rFonts w:ascii="Arial" w:hAnsi="Arial"/>
                <w:sz w:val="18"/>
                <w:lang w:val="en-US"/>
              </w:rPr>
              <w:t>sub-meter spatial resolution</w:t>
            </w:r>
            <w:r w:rsidR="00A35454" w:rsidRPr="003A2249">
              <w:rPr>
                <w:rFonts w:ascii="Arial" w:hAnsi="Arial"/>
                <w:sz w:val="18"/>
                <w:lang w:val="en-US"/>
              </w:rPr>
              <w:t xml:space="preserve"> </w:t>
            </w:r>
            <w:r w:rsidR="00981490" w:rsidRPr="003A2249">
              <w:rPr>
                <w:rFonts w:ascii="Arial" w:hAnsi="Arial"/>
                <w:sz w:val="18"/>
                <w:lang w:val="en-US"/>
              </w:rPr>
              <w:t xml:space="preserve">offer an opportunity to map the built-up area in </w:t>
            </w:r>
            <w:r w:rsidR="003D19C1" w:rsidRPr="003A2249">
              <w:rPr>
                <w:rFonts w:ascii="Arial" w:hAnsi="Arial"/>
                <w:sz w:val="18"/>
                <w:lang w:val="en-US"/>
              </w:rPr>
              <w:t>higher detail compared to the free and open datasets</w:t>
            </w:r>
            <w:r w:rsidR="006828EB" w:rsidRPr="003A2249">
              <w:rPr>
                <w:rFonts w:ascii="Arial" w:hAnsi="Arial"/>
                <w:sz w:val="18"/>
                <w:lang w:val="en-US"/>
              </w:rPr>
              <w:t>. For</w:t>
            </w:r>
            <w:r w:rsidR="004911A5" w:rsidRPr="003A2249">
              <w:rPr>
                <w:rFonts w:ascii="Arial" w:hAnsi="Arial"/>
                <w:sz w:val="18"/>
                <w:lang w:val="en-US"/>
              </w:rPr>
              <w:t xml:space="preserve"> national scale mapping </w:t>
            </w:r>
            <w:r w:rsidR="006828EB" w:rsidRPr="003A2249">
              <w:rPr>
                <w:rFonts w:ascii="Arial" w:hAnsi="Arial"/>
                <w:sz w:val="18"/>
                <w:lang w:val="en-US"/>
              </w:rPr>
              <w:t xml:space="preserve">the </w:t>
            </w:r>
            <w:r w:rsidR="005D798C" w:rsidRPr="003A2249">
              <w:rPr>
                <w:rFonts w:ascii="Arial" w:hAnsi="Arial"/>
                <w:sz w:val="18"/>
                <w:lang w:val="en-US"/>
              </w:rPr>
              <w:t>use</w:t>
            </w:r>
            <w:r w:rsidR="006828EB" w:rsidRPr="003A2249">
              <w:rPr>
                <w:rFonts w:ascii="Arial" w:hAnsi="Arial"/>
                <w:sz w:val="18"/>
                <w:lang w:val="en-US"/>
              </w:rPr>
              <w:t xml:space="preserve"> of commercial </w:t>
            </w:r>
            <w:r w:rsidR="005C7197" w:rsidRPr="003A2249">
              <w:rPr>
                <w:rFonts w:ascii="Arial" w:hAnsi="Arial"/>
                <w:sz w:val="18"/>
                <w:lang w:val="en-US"/>
              </w:rPr>
              <w:t>high-resolution</w:t>
            </w:r>
            <w:r w:rsidR="006828EB" w:rsidRPr="003A2249">
              <w:rPr>
                <w:rFonts w:ascii="Arial" w:hAnsi="Arial"/>
                <w:sz w:val="18"/>
                <w:lang w:val="en-US"/>
              </w:rPr>
              <w:t xml:space="preserve"> imagery </w:t>
            </w:r>
            <w:r w:rsidR="004911A5" w:rsidRPr="003A2249">
              <w:rPr>
                <w:rFonts w:ascii="Arial" w:hAnsi="Arial"/>
                <w:sz w:val="18"/>
                <w:lang w:val="en-US"/>
              </w:rPr>
              <w:t xml:space="preserve">will most likely be prohibitive costly </w:t>
            </w:r>
            <w:r w:rsidR="00940F2A" w:rsidRPr="003A2249">
              <w:rPr>
                <w:rFonts w:ascii="Arial" w:hAnsi="Arial"/>
                <w:sz w:val="18"/>
                <w:lang w:val="en-US"/>
              </w:rPr>
              <w:t xml:space="preserve">for most countries </w:t>
            </w:r>
            <w:r w:rsidR="005E3541" w:rsidRPr="003A2249">
              <w:rPr>
                <w:rFonts w:ascii="Arial" w:hAnsi="Arial"/>
                <w:sz w:val="18"/>
                <w:lang w:val="en-US"/>
              </w:rPr>
              <w:t xml:space="preserve">but </w:t>
            </w:r>
            <w:r w:rsidR="009236DF" w:rsidRPr="003A2249">
              <w:rPr>
                <w:rFonts w:ascii="Arial" w:hAnsi="Arial"/>
                <w:sz w:val="18"/>
                <w:lang w:val="en-US"/>
              </w:rPr>
              <w:t xml:space="preserve">may </w:t>
            </w:r>
            <w:r w:rsidR="00940F2A" w:rsidRPr="003A2249">
              <w:rPr>
                <w:rFonts w:ascii="Arial" w:hAnsi="Arial"/>
                <w:sz w:val="18"/>
                <w:lang w:val="en-US"/>
              </w:rPr>
              <w:t xml:space="preserve">be </w:t>
            </w:r>
            <w:r w:rsidR="009236DF" w:rsidRPr="003A2249">
              <w:rPr>
                <w:rFonts w:ascii="Arial" w:hAnsi="Arial"/>
                <w:sz w:val="18"/>
                <w:lang w:val="en-US"/>
              </w:rPr>
              <w:t>consider</w:t>
            </w:r>
            <w:r w:rsidR="00940F2A" w:rsidRPr="003A2249">
              <w:rPr>
                <w:rFonts w:ascii="Arial" w:hAnsi="Arial"/>
                <w:sz w:val="18"/>
                <w:lang w:val="en-US"/>
              </w:rPr>
              <w:t>ed in</w:t>
            </w:r>
            <w:r w:rsidR="009236DF" w:rsidRPr="003A2249">
              <w:rPr>
                <w:rFonts w:ascii="Arial" w:hAnsi="Arial"/>
                <w:sz w:val="18"/>
                <w:lang w:val="en-US"/>
              </w:rPr>
              <w:t xml:space="preserve"> </w:t>
            </w:r>
            <w:r w:rsidR="0099194A" w:rsidRPr="003A2249">
              <w:rPr>
                <w:rFonts w:ascii="Arial" w:hAnsi="Arial"/>
                <w:sz w:val="18"/>
                <w:lang w:val="en-US"/>
              </w:rPr>
              <w:t>a mult</w:t>
            </w:r>
            <w:r w:rsidR="005C7197" w:rsidRPr="003A2249">
              <w:rPr>
                <w:rFonts w:ascii="Arial" w:hAnsi="Arial"/>
                <w:sz w:val="18"/>
                <w:lang w:val="en-US"/>
              </w:rPr>
              <w:t>i</w:t>
            </w:r>
            <w:r w:rsidR="0099194A" w:rsidRPr="003A2249">
              <w:rPr>
                <w:rFonts w:ascii="Arial" w:hAnsi="Arial"/>
                <w:sz w:val="18"/>
                <w:lang w:val="en-US"/>
              </w:rPr>
              <w:t xml:space="preserve">-scale approach where the national </w:t>
            </w:r>
            <w:r w:rsidR="009236DF" w:rsidRPr="003A2249">
              <w:rPr>
                <w:rFonts w:ascii="Arial" w:hAnsi="Arial"/>
                <w:sz w:val="18"/>
                <w:lang w:val="en-US"/>
              </w:rPr>
              <w:t>bui</w:t>
            </w:r>
            <w:r w:rsidR="00377108" w:rsidRPr="003A2249">
              <w:rPr>
                <w:rFonts w:ascii="Arial" w:hAnsi="Arial"/>
                <w:sz w:val="18"/>
                <w:lang w:val="en-US"/>
              </w:rPr>
              <w:t xml:space="preserve">lt-up inventory </w:t>
            </w:r>
            <w:r w:rsidR="0099194A" w:rsidRPr="003A2249">
              <w:rPr>
                <w:rFonts w:ascii="Arial" w:hAnsi="Arial"/>
                <w:sz w:val="18"/>
                <w:lang w:val="en-US"/>
              </w:rPr>
              <w:t>is based on public domain data or from open datasets</w:t>
            </w:r>
            <w:r w:rsidR="00377108" w:rsidRPr="003A2249">
              <w:rPr>
                <w:rFonts w:ascii="Arial" w:hAnsi="Arial"/>
                <w:sz w:val="18"/>
                <w:lang w:val="en-US"/>
              </w:rPr>
              <w:t xml:space="preserve"> which is being complemented </w:t>
            </w:r>
            <w:r w:rsidR="0099194A" w:rsidRPr="003A2249">
              <w:rPr>
                <w:rFonts w:ascii="Arial" w:hAnsi="Arial"/>
                <w:sz w:val="18"/>
                <w:lang w:val="en-US"/>
              </w:rPr>
              <w:t>with detailed</w:t>
            </w:r>
            <w:r w:rsidR="00377108" w:rsidRPr="003A2249">
              <w:rPr>
                <w:rFonts w:ascii="Arial" w:hAnsi="Arial"/>
                <w:sz w:val="18"/>
                <w:lang w:val="en-US"/>
              </w:rPr>
              <w:t xml:space="preserve"> </w:t>
            </w:r>
            <w:r w:rsidR="00150595" w:rsidRPr="003A2249">
              <w:rPr>
                <w:rFonts w:ascii="Arial" w:hAnsi="Arial"/>
                <w:sz w:val="18"/>
                <w:lang w:val="en-US"/>
              </w:rPr>
              <w:t>built</w:t>
            </w:r>
            <w:r w:rsidR="00377108" w:rsidRPr="003A2249">
              <w:rPr>
                <w:rFonts w:ascii="Arial" w:hAnsi="Arial"/>
                <w:sz w:val="18"/>
                <w:lang w:val="en-US"/>
              </w:rPr>
              <w:t xml:space="preserve">-up inventories for </w:t>
            </w:r>
            <w:r w:rsidR="009236DF" w:rsidRPr="003A2249">
              <w:rPr>
                <w:rFonts w:ascii="Arial" w:hAnsi="Arial"/>
                <w:sz w:val="18"/>
                <w:lang w:val="en-US"/>
              </w:rPr>
              <w:t>selected</w:t>
            </w:r>
            <w:r w:rsidR="0099194A" w:rsidRPr="003A2249">
              <w:rPr>
                <w:rFonts w:ascii="Arial" w:hAnsi="Arial"/>
                <w:sz w:val="18"/>
                <w:lang w:val="en-US"/>
              </w:rPr>
              <w:t xml:space="preserve"> cities </w:t>
            </w:r>
            <w:r w:rsidR="00377108" w:rsidRPr="003A2249">
              <w:rPr>
                <w:rFonts w:ascii="Arial" w:hAnsi="Arial"/>
                <w:sz w:val="18"/>
                <w:lang w:val="en-US"/>
              </w:rPr>
              <w:t>based</w:t>
            </w:r>
            <w:r w:rsidR="0099194A" w:rsidRPr="003A2249">
              <w:rPr>
                <w:rFonts w:ascii="Arial" w:hAnsi="Arial"/>
                <w:sz w:val="18"/>
                <w:lang w:val="en-US"/>
              </w:rPr>
              <w:t xml:space="preserve"> commercial </w:t>
            </w:r>
            <w:r w:rsidR="00377108" w:rsidRPr="003A2249">
              <w:rPr>
                <w:rFonts w:ascii="Arial" w:hAnsi="Arial"/>
                <w:sz w:val="18"/>
                <w:lang w:val="en-US"/>
              </w:rPr>
              <w:t xml:space="preserve">high-resolution </w:t>
            </w:r>
            <w:r w:rsidR="0099194A" w:rsidRPr="003A2249">
              <w:rPr>
                <w:rFonts w:ascii="Arial" w:hAnsi="Arial"/>
                <w:sz w:val="18"/>
                <w:lang w:val="en-US"/>
              </w:rPr>
              <w:t>imagery</w:t>
            </w:r>
            <w:r w:rsidR="00377108" w:rsidRPr="003A2249">
              <w:rPr>
                <w:rFonts w:ascii="Arial" w:hAnsi="Arial"/>
                <w:sz w:val="18"/>
                <w:lang w:val="en-US"/>
              </w:rPr>
              <w:t>.</w:t>
            </w:r>
            <w:r w:rsidR="0099194A" w:rsidRPr="003A2249">
              <w:rPr>
                <w:rFonts w:ascii="Arial" w:hAnsi="Arial"/>
                <w:sz w:val="18"/>
                <w:lang w:val="en-US"/>
              </w:rPr>
              <w:t xml:space="preserve"> </w:t>
            </w:r>
          </w:p>
          <w:p w14:paraId="7C9DA06F" w14:textId="7703340B" w:rsidR="00F73765" w:rsidRPr="003A2249" w:rsidRDefault="00F73765" w:rsidP="00F73765">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Regardless of the input satellite imagery then </w:t>
            </w:r>
            <w:r w:rsidR="00DE2F75" w:rsidRPr="003A2249">
              <w:rPr>
                <w:rFonts w:ascii="Arial" w:hAnsi="Arial"/>
                <w:sz w:val="18"/>
                <w:lang w:val="en-US"/>
              </w:rPr>
              <w:t xml:space="preserve">users should be aware </w:t>
            </w:r>
            <w:r w:rsidRPr="003A2249">
              <w:rPr>
                <w:rFonts w:ascii="Arial" w:hAnsi="Arial"/>
                <w:sz w:val="18"/>
                <w:lang w:val="en-US"/>
              </w:rPr>
              <w:t xml:space="preserve">that the direct output of the EO processing is a map of the built-up </w:t>
            </w:r>
            <w:r w:rsidR="00DE2F75" w:rsidRPr="003A2249">
              <w:rPr>
                <w:rFonts w:ascii="Arial" w:hAnsi="Arial"/>
                <w:sz w:val="18"/>
                <w:lang w:val="en-US"/>
              </w:rPr>
              <w:t xml:space="preserve">area why post-processing </w:t>
            </w:r>
            <w:r w:rsidR="000C1720" w:rsidRPr="003A2249">
              <w:rPr>
                <w:rFonts w:ascii="Arial" w:hAnsi="Arial"/>
                <w:sz w:val="18"/>
                <w:lang w:val="en-US"/>
              </w:rPr>
              <w:t>is needed in order to derive the urban ex</w:t>
            </w:r>
            <w:r w:rsidR="00E94852" w:rsidRPr="003A2249">
              <w:rPr>
                <w:rFonts w:ascii="Arial" w:hAnsi="Arial"/>
                <w:sz w:val="18"/>
                <w:lang w:val="en-US"/>
              </w:rPr>
              <w:t xml:space="preserve">tent boundary </w:t>
            </w:r>
            <w:r w:rsidR="001E45FF" w:rsidRPr="003A2249">
              <w:rPr>
                <w:rFonts w:ascii="Arial" w:hAnsi="Arial"/>
                <w:sz w:val="18"/>
                <w:lang w:val="en-US"/>
              </w:rPr>
              <w:t xml:space="preserve">and the degree of land consumption </w:t>
            </w:r>
            <w:r w:rsidR="00E94852" w:rsidRPr="003A2249">
              <w:rPr>
                <w:rFonts w:ascii="Arial" w:hAnsi="Arial"/>
                <w:sz w:val="18"/>
                <w:lang w:val="en-US"/>
              </w:rPr>
              <w:t xml:space="preserve">which </w:t>
            </w:r>
            <w:r w:rsidR="00074402" w:rsidRPr="003A2249">
              <w:rPr>
                <w:rFonts w:ascii="Arial" w:hAnsi="Arial"/>
                <w:sz w:val="18"/>
                <w:lang w:val="en-US"/>
              </w:rPr>
              <w:t>is needed for this indicator.</w:t>
            </w:r>
          </w:p>
          <w:p w14:paraId="0A808C57" w14:textId="5D873CC8" w:rsidR="00FE6F70" w:rsidRPr="003A2249" w:rsidRDefault="00FE6F70" w:rsidP="00F73765">
            <w:pPr>
              <w:tabs>
                <w:tab w:val="left" w:pos="2126"/>
              </w:tabs>
              <w:spacing w:beforeLines="60" w:before="144" w:afterLines="60" w:after="144" w:line="240" w:lineRule="atLeast"/>
              <w:rPr>
                <w:rFonts w:ascii="Arial" w:hAnsi="Arial"/>
                <w:b/>
                <w:sz w:val="18"/>
                <w:lang w:val="en-US"/>
              </w:rPr>
            </w:pPr>
            <w:r w:rsidRPr="003A2249">
              <w:rPr>
                <w:rFonts w:ascii="Arial" w:hAnsi="Arial"/>
                <w:b/>
                <w:sz w:val="18"/>
                <w:lang w:val="en-US"/>
              </w:rPr>
              <w:t>Population mapping:</w:t>
            </w:r>
            <w:r w:rsidR="003059F0" w:rsidRPr="003A2249">
              <w:rPr>
                <w:rFonts w:ascii="Arial" w:hAnsi="Arial"/>
                <w:b/>
                <w:sz w:val="18"/>
                <w:lang w:val="en-US"/>
              </w:rPr>
              <w:t xml:space="preserve"> </w:t>
            </w:r>
            <w:r w:rsidR="003059F0" w:rsidRPr="003A2249">
              <w:rPr>
                <w:rFonts w:ascii="Arial" w:hAnsi="Arial"/>
                <w:sz w:val="18"/>
                <w:lang w:val="en-US"/>
              </w:rPr>
              <w:t xml:space="preserve">It is not possible to directly estimate population </w:t>
            </w:r>
            <w:r w:rsidR="00971C33" w:rsidRPr="003A2249">
              <w:rPr>
                <w:rFonts w:ascii="Arial" w:hAnsi="Arial"/>
                <w:sz w:val="18"/>
                <w:lang w:val="en-US"/>
              </w:rPr>
              <w:t xml:space="preserve">numbers or </w:t>
            </w:r>
            <w:r w:rsidR="003059F0" w:rsidRPr="003A2249">
              <w:rPr>
                <w:rFonts w:ascii="Arial" w:hAnsi="Arial"/>
                <w:sz w:val="18"/>
                <w:lang w:val="en-US"/>
              </w:rPr>
              <w:t>density from space but there are established methodologies for generating population maps by obtaining sub</w:t>
            </w:r>
            <w:r w:rsidR="003059F0" w:rsidRPr="003A2249">
              <w:rPr>
                <w:rFonts w:ascii="Cambria Math" w:hAnsi="Cambria Math" w:cs="Cambria Math"/>
                <w:sz w:val="18"/>
                <w:lang w:val="en-US"/>
              </w:rPr>
              <w:t>‐</w:t>
            </w:r>
            <w:r w:rsidR="003059F0" w:rsidRPr="003A2249">
              <w:rPr>
                <w:rFonts w:ascii="Arial" w:hAnsi="Arial"/>
                <w:sz w:val="18"/>
                <w:lang w:val="en-US"/>
              </w:rPr>
              <w:t xml:space="preserve">national population statistics (e.g. districts, counties, provinces) and subsequently distribute them geographically using geospatial indicators such as the location of urban </w:t>
            </w:r>
            <w:proofErr w:type="spellStart"/>
            <w:r w:rsidR="003059F0" w:rsidRPr="003A2249">
              <w:rPr>
                <w:rFonts w:ascii="Arial" w:hAnsi="Arial"/>
                <w:sz w:val="18"/>
                <w:lang w:val="en-US"/>
              </w:rPr>
              <w:t>centres</w:t>
            </w:r>
            <w:proofErr w:type="spellEnd"/>
            <w:r w:rsidR="003059F0" w:rsidRPr="003A2249">
              <w:rPr>
                <w:rFonts w:ascii="Arial" w:hAnsi="Arial"/>
                <w:sz w:val="18"/>
                <w:lang w:val="en-US"/>
              </w:rPr>
              <w:t xml:space="preserve"> (cf. Urban extent) and possibly also the main transportation network, i.e. roads, railroads and rivers. By knowing the type and use of </w:t>
            </w:r>
            <w:r w:rsidR="00866711" w:rsidRPr="003A2249">
              <w:rPr>
                <w:rFonts w:ascii="Arial" w:hAnsi="Arial"/>
                <w:sz w:val="18"/>
                <w:lang w:val="en-US"/>
              </w:rPr>
              <w:t xml:space="preserve">the </w:t>
            </w:r>
            <w:r w:rsidR="003059F0" w:rsidRPr="003A2249">
              <w:rPr>
                <w:rFonts w:ascii="Arial" w:hAnsi="Arial"/>
                <w:sz w:val="18"/>
                <w:lang w:val="en-US"/>
              </w:rPr>
              <w:t xml:space="preserve">urban fabric </w:t>
            </w:r>
            <w:r w:rsidR="00866711" w:rsidRPr="003A2249">
              <w:rPr>
                <w:rFonts w:ascii="Arial" w:hAnsi="Arial"/>
                <w:sz w:val="18"/>
                <w:lang w:val="en-US"/>
              </w:rPr>
              <w:t xml:space="preserve">then coarse resolution population maps can be disaggregated to obtain a </w:t>
            </w:r>
            <w:r w:rsidR="003059F0" w:rsidRPr="003A2249">
              <w:rPr>
                <w:rFonts w:ascii="Arial" w:hAnsi="Arial"/>
                <w:sz w:val="18"/>
                <w:lang w:val="en-US"/>
              </w:rPr>
              <w:t xml:space="preserve">more accurate spatial assignment of </w:t>
            </w:r>
            <w:r w:rsidR="00866711" w:rsidRPr="003A2249">
              <w:rPr>
                <w:rFonts w:ascii="Arial" w:hAnsi="Arial"/>
                <w:sz w:val="18"/>
                <w:lang w:val="en-US"/>
              </w:rPr>
              <w:t xml:space="preserve">the </w:t>
            </w:r>
            <w:r w:rsidR="003059F0" w:rsidRPr="003A2249">
              <w:rPr>
                <w:rFonts w:ascii="Arial" w:hAnsi="Arial"/>
                <w:sz w:val="18"/>
                <w:lang w:val="en-US"/>
              </w:rPr>
              <w:t>population density</w:t>
            </w:r>
            <w:r w:rsidR="00866711" w:rsidRPr="003A2249">
              <w:rPr>
                <w:rFonts w:ascii="Arial" w:hAnsi="Arial"/>
                <w:sz w:val="18"/>
                <w:lang w:val="en-US"/>
              </w:rPr>
              <w:t>.</w:t>
            </w:r>
          </w:p>
        </w:tc>
      </w:tr>
      <w:tr w:rsidR="00E30EED" w:rsidRPr="003A2249" w14:paraId="3CA2E6CC" w14:textId="77777777" w:rsidTr="001B3A40">
        <w:tc>
          <w:tcPr>
            <w:tcW w:w="1653" w:type="dxa"/>
          </w:tcPr>
          <w:p w14:paraId="5F710FEC" w14:textId="19BA670F" w:rsidR="00E30EED" w:rsidRPr="003A2249" w:rsidRDefault="00E30EED" w:rsidP="00FD33D6">
            <w:pPr>
              <w:tabs>
                <w:tab w:val="left" w:pos="2126"/>
              </w:tabs>
              <w:spacing w:beforeLines="60" w:before="144" w:afterLines="60" w:after="144" w:line="240" w:lineRule="atLeast"/>
              <w:rPr>
                <w:rFonts w:ascii="Arial" w:hAnsi="Arial"/>
                <w:color w:val="005A8C"/>
                <w:sz w:val="18"/>
                <w:lang w:val="en-US"/>
              </w:rPr>
            </w:pPr>
            <w:r w:rsidRPr="003A2249">
              <w:rPr>
                <w:rFonts w:ascii="Arial" w:hAnsi="Arial"/>
                <w:color w:val="005A8C"/>
                <w:sz w:val="18"/>
                <w:lang w:val="en-US"/>
              </w:rPr>
              <w:lastRenderedPageBreak/>
              <w:t>EO data</w:t>
            </w:r>
            <w:r w:rsidR="009C54C3" w:rsidRPr="003A2249">
              <w:rPr>
                <w:rFonts w:ascii="Arial" w:hAnsi="Arial"/>
                <w:color w:val="005A8C"/>
                <w:sz w:val="18"/>
                <w:lang w:val="en-US"/>
              </w:rPr>
              <w:t xml:space="preserve">sets and platforms </w:t>
            </w:r>
          </w:p>
        </w:tc>
        <w:tc>
          <w:tcPr>
            <w:tcW w:w="8004" w:type="dxa"/>
            <w:gridSpan w:val="3"/>
          </w:tcPr>
          <w:p w14:paraId="7FE6FE38" w14:textId="05FC181A" w:rsidR="009C4483" w:rsidRPr="003A2249" w:rsidRDefault="00345234" w:rsidP="00FD33D6">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There are a range of </w:t>
            </w:r>
            <w:r w:rsidR="00BF4030" w:rsidRPr="003A2249">
              <w:rPr>
                <w:rFonts w:ascii="Arial" w:hAnsi="Arial"/>
                <w:sz w:val="18"/>
                <w:lang w:val="en-US"/>
              </w:rPr>
              <w:t xml:space="preserve">satellite </w:t>
            </w:r>
            <w:r w:rsidR="00617666" w:rsidRPr="003A2249">
              <w:rPr>
                <w:rFonts w:ascii="Arial" w:hAnsi="Arial"/>
                <w:sz w:val="18"/>
                <w:lang w:val="en-US"/>
              </w:rPr>
              <w:t>data sources</w:t>
            </w:r>
            <w:r w:rsidR="00BF4030" w:rsidRPr="003A2249">
              <w:rPr>
                <w:rFonts w:ascii="Arial" w:hAnsi="Arial"/>
                <w:sz w:val="18"/>
                <w:lang w:val="en-US"/>
              </w:rPr>
              <w:t xml:space="preserve"> and </w:t>
            </w:r>
            <w:r w:rsidR="00511C8B" w:rsidRPr="003A2249">
              <w:rPr>
                <w:rFonts w:ascii="Arial" w:hAnsi="Arial"/>
                <w:sz w:val="18"/>
                <w:lang w:val="en-US"/>
              </w:rPr>
              <w:t>global data products which could be used within the indicator reporting.</w:t>
            </w:r>
            <w:r w:rsidR="001501CF" w:rsidRPr="003A2249">
              <w:rPr>
                <w:rFonts w:ascii="Arial" w:hAnsi="Arial"/>
                <w:sz w:val="18"/>
                <w:lang w:val="en-US"/>
              </w:rPr>
              <w:t xml:space="preserve"> In </w:t>
            </w:r>
            <w:r w:rsidR="004212AD" w:rsidRPr="003A2249">
              <w:rPr>
                <w:rFonts w:ascii="Arial" w:hAnsi="Arial"/>
                <w:sz w:val="18"/>
                <w:lang w:val="en-US"/>
              </w:rPr>
              <w:t>addition,</w:t>
            </w:r>
            <w:r w:rsidR="001501CF" w:rsidRPr="003A2249">
              <w:rPr>
                <w:rFonts w:ascii="Arial" w:hAnsi="Arial"/>
                <w:sz w:val="18"/>
                <w:lang w:val="en-US"/>
              </w:rPr>
              <w:t xml:space="preserve"> there are </w:t>
            </w:r>
            <w:r w:rsidR="00BF4030" w:rsidRPr="003A2249">
              <w:rPr>
                <w:rFonts w:ascii="Arial" w:hAnsi="Arial"/>
                <w:sz w:val="18"/>
                <w:lang w:val="en-US"/>
              </w:rPr>
              <w:t>several</w:t>
            </w:r>
            <w:r w:rsidR="001501CF" w:rsidRPr="003A2249">
              <w:rPr>
                <w:rFonts w:ascii="Arial" w:hAnsi="Arial"/>
                <w:sz w:val="18"/>
                <w:lang w:val="en-US"/>
              </w:rPr>
              <w:t xml:space="preserve"> online platform and tools who provide </w:t>
            </w:r>
            <w:r w:rsidR="00031341" w:rsidRPr="003A2249">
              <w:rPr>
                <w:rFonts w:ascii="Arial" w:hAnsi="Arial"/>
                <w:sz w:val="18"/>
                <w:lang w:val="en-US"/>
              </w:rPr>
              <w:t xml:space="preserve">options and support for </w:t>
            </w:r>
            <w:r w:rsidR="007107DF" w:rsidRPr="003A2249">
              <w:rPr>
                <w:rFonts w:ascii="Arial" w:hAnsi="Arial"/>
                <w:sz w:val="18"/>
                <w:lang w:val="en-US"/>
              </w:rPr>
              <w:t xml:space="preserve">accessing or deriving </w:t>
            </w:r>
            <w:r w:rsidR="004212AD" w:rsidRPr="003A2249">
              <w:rPr>
                <w:rFonts w:ascii="Arial" w:hAnsi="Arial"/>
                <w:sz w:val="18"/>
                <w:lang w:val="en-US"/>
              </w:rPr>
              <w:t>various</w:t>
            </w:r>
            <w:r w:rsidR="00031341" w:rsidRPr="003A2249">
              <w:rPr>
                <w:rFonts w:ascii="Arial" w:hAnsi="Arial"/>
                <w:sz w:val="18"/>
                <w:lang w:val="en-US"/>
              </w:rPr>
              <w:t xml:space="preserve"> input</w:t>
            </w:r>
            <w:r w:rsidR="004212AD" w:rsidRPr="003A2249">
              <w:rPr>
                <w:rFonts w:ascii="Arial" w:hAnsi="Arial"/>
                <w:sz w:val="18"/>
                <w:lang w:val="en-US"/>
              </w:rPr>
              <w:t>s</w:t>
            </w:r>
            <w:r w:rsidR="00031341" w:rsidRPr="003A2249">
              <w:rPr>
                <w:rFonts w:ascii="Arial" w:hAnsi="Arial"/>
                <w:sz w:val="18"/>
                <w:lang w:val="en-US"/>
              </w:rPr>
              <w:t xml:space="preserve"> </w:t>
            </w:r>
            <w:r w:rsidR="007107DF" w:rsidRPr="003A2249">
              <w:rPr>
                <w:rFonts w:ascii="Arial" w:hAnsi="Arial"/>
                <w:sz w:val="18"/>
                <w:lang w:val="en-US"/>
              </w:rPr>
              <w:t xml:space="preserve">for </w:t>
            </w:r>
            <w:r w:rsidR="004212AD" w:rsidRPr="003A2249">
              <w:rPr>
                <w:rFonts w:ascii="Arial" w:hAnsi="Arial"/>
                <w:sz w:val="18"/>
                <w:lang w:val="en-US"/>
              </w:rPr>
              <w:t xml:space="preserve">computation of </w:t>
            </w:r>
            <w:r w:rsidR="007107DF" w:rsidRPr="003A2249">
              <w:rPr>
                <w:rFonts w:ascii="Arial" w:hAnsi="Arial"/>
                <w:sz w:val="18"/>
                <w:lang w:val="en-US"/>
              </w:rPr>
              <w:t>indicator</w:t>
            </w:r>
            <w:r w:rsidR="00031341" w:rsidRPr="003A2249">
              <w:rPr>
                <w:rFonts w:ascii="Arial" w:hAnsi="Arial"/>
                <w:sz w:val="18"/>
                <w:lang w:val="en-US"/>
              </w:rPr>
              <w:t xml:space="preserve"> 11.3.1. </w:t>
            </w:r>
          </w:p>
          <w:p w14:paraId="0B0B7558" w14:textId="3739D476" w:rsidR="00E30EED" w:rsidRPr="003A2249" w:rsidRDefault="006502A7" w:rsidP="00FD33D6">
            <w:pPr>
              <w:tabs>
                <w:tab w:val="left" w:pos="2126"/>
              </w:tabs>
              <w:spacing w:beforeLines="60" w:before="144" w:afterLines="60" w:after="144" w:line="240" w:lineRule="atLeast"/>
              <w:rPr>
                <w:rFonts w:ascii="Arial" w:hAnsi="Arial"/>
                <w:b/>
                <w:sz w:val="18"/>
                <w:lang w:val="en-US"/>
              </w:rPr>
            </w:pPr>
            <w:r w:rsidRPr="003A2249">
              <w:rPr>
                <w:rFonts w:ascii="Arial" w:hAnsi="Arial"/>
                <w:b/>
                <w:sz w:val="18"/>
                <w:lang w:val="en-US"/>
              </w:rPr>
              <w:t>Satellite data</w:t>
            </w:r>
          </w:p>
          <w:p w14:paraId="1BD5C671" w14:textId="789B6AFB" w:rsidR="00AD0960" w:rsidRPr="003A2249" w:rsidRDefault="003D1D33" w:rsidP="003D1D33">
            <w:p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Raw satellite imagery for the mapping of built-up areas can be obtained from public and freely-accessible data collections as well as from commercial </w:t>
            </w:r>
            <w:r w:rsidR="00A7247D" w:rsidRPr="003A2249">
              <w:rPr>
                <w:rFonts w:ascii="Arial" w:hAnsi="Arial"/>
                <w:sz w:val="18"/>
                <w:lang w:val="en-US"/>
              </w:rPr>
              <w:t xml:space="preserve">distributors. A summary of the </w:t>
            </w:r>
            <w:r w:rsidR="00F61F7F" w:rsidRPr="003A2249">
              <w:rPr>
                <w:rFonts w:ascii="Arial" w:hAnsi="Arial"/>
                <w:sz w:val="18"/>
                <w:lang w:val="en-US"/>
              </w:rPr>
              <w:t>available options is provide</w:t>
            </w:r>
            <w:r w:rsidR="001E45FF" w:rsidRPr="003A2249">
              <w:rPr>
                <w:rFonts w:ascii="Arial" w:hAnsi="Arial"/>
                <w:sz w:val="18"/>
                <w:lang w:val="en-US"/>
              </w:rPr>
              <w:t>d</w:t>
            </w:r>
            <w:r w:rsidR="00F61F7F" w:rsidRPr="003A2249">
              <w:rPr>
                <w:rFonts w:ascii="Arial" w:hAnsi="Arial"/>
                <w:sz w:val="18"/>
                <w:lang w:val="en-US"/>
              </w:rPr>
              <w:t xml:space="preserve"> in the table below:</w:t>
            </w:r>
          </w:p>
          <w:tbl>
            <w:tblPr>
              <w:tblStyle w:val="GridTable4-Accent1"/>
              <w:tblW w:w="5000" w:type="pct"/>
              <w:tblLook w:val="04A0" w:firstRow="1" w:lastRow="0" w:firstColumn="1" w:lastColumn="0" w:noHBand="0" w:noVBand="1"/>
            </w:tblPr>
            <w:tblGrid>
              <w:gridCol w:w="1133"/>
              <w:gridCol w:w="924"/>
              <w:gridCol w:w="992"/>
              <w:gridCol w:w="1787"/>
              <w:gridCol w:w="999"/>
              <w:gridCol w:w="1943"/>
            </w:tblGrid>
            <w:tr w:rsidR="001E45FF" w:rsidRPr="003A2249" w14:paraId="7412BA34" w14:textId="501C5E98" w:rsidTr="00465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vAlign w:val="center"/>
                </w:tcPr>
                <w:p w14:paraId="1AB73F2B" w14:textId="5B0371E4" w:rsidR="0007041A" w:rsidRPr="003A2249" w:rsidRDefault="0007041A" w:rsidP="00465D73">
                  <w:pPr>
                    <w:tabs>
                      <w:tab w:val="left" w:pos="2126"/>
                    </w:tabs>
                    <w:jc w:val="center"/>
                    <w:rPr>
                      <w:rFonts w:ascii="Arial" w:hAnsi="Arial"/>
                      <w:sz w:val="16"/>
                      <w:lang w:val="en-US"/>
                    </w:rPr>
                  </w:pPr>
                  <w:r w:rsidRPr="003A2249">
                    <w:rPr>
                      <w:rFonts w:ascii="Arial" w:hAnsi="Arial"/>
                      <w:sz w:val="16"/>
                      <w:lang w:val="en-US"/>
                    </w:rPr>
                    <w:t>Sensor</w:t>
                  </w:r>
                </w:p>
              </w:tc>
              <w:tc>
                <w:tcPr>
                  <w:tcW w:w="594" w:type="pct"/>
                  <w:vAlign w:val="center"/>
                </w:tcPr>
                <w:p w14:paraId="02FF10A5" w14:textId="268B328B" w:rsidR="0007041A" w:rsidRPr="003A2249" w:rsidRDefault="0007041A" w:rsidP="00465D73">
                  <w:pPr>
                    <w:tabs>
                      <w:tab w:val="left" w:pos="2126"/>
                    </w:tabs>
                    <w:jc w:val="center"/>
                    <w:cnfStyle w:val="100000000000" w:firstRow="1"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Type</w:t>
                  </w:r>
                </w:p>
              </w:tc>
              <w:tc>
                <w:tcPr>
                  <w:tcW w:w="638" w:type="pct"/>
                  <w:vAlign w:val="center"/>
                </w:tcPr>
                <w:p w14:paraId="0E2E2A04" w14:textId="447F1CC3" w:rsidR="0007041A" w:rsidRPr="003A2249" w:rsidRDefault="0007041A" w:rsidP="00465D73">
                  <w:pPr>
                    <w:tabs>
                      <w:tab w:val="left" w:pos="2126"/>
                    </w:tabs>
                    <w:jc w:val="center"/>
                    <w:cnfStyle w:val="100000000000" w:firstRow="1"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Spatial resolution</w:t>
                  </w:r>
                </w:p>
              </w:tc>
              <w:tc>
                <w:tcPr>
                  <w:tcW w:w="1149" w:type="pct"/>
                  <w:vAlign w:val="center"/>
                </w:tcPr>
                <w:p w14:paraId="0B01A969" w14:textId="1719E4D5" w:rsidR="0007041A" w:rsidRPr="003A2249" w:rsidRDefault="0007041A" w:rsidP="00465D73">
                  <w:pPr>
                    <w:tabs>
                      <w:tab w:val="left" w:pos="2126"/>
                    </w:tabs>
                    <w:jc w:val="center"/>
                    <w:cnfStyle w:val="100000000000" w:firstRow="1"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Tempo</w:t>
                  </w:r>
                  <w:r w:rsidR="0024446B" w:rsidRPr="003A2249">
                    <w:rPr>
                      <w:rFonts w:ascii="Arial" w:hAnsi="Arial"/>
                      <w:sz w:val="16"/>
                      <w:lang w:val="en-US"/>
                    </w:rPr>
                    <w:t>r</w:t>
                  </w:r>
                  <w:r w:rsidRPr="003A2249">
                    <w:rPr>
                      <w:rFonts w:ascii="Arial" w:hAnsi="Arial"/>
                      <w:sz w:val="16"/>
                      <w:lang w:val="en-US"/>
                    </w:rPr>
                    <w:t xml:space="preserve">al coverage </w:t>
                  </w:r>
                  <w:r w:rsidR="001E45FF" w:rsidRPr="003A2249">
                    <w:rPr>
                      <w:rFonts w:ascii="Arial" w:hAnsi="Arial"/>
                      <w:sz w:val="16"/>
                      <w:lang w:val="en-US"/>
                    </w:rPr>
                    <w:t>/ Revisit time</w:t>
                  </w:r>
                </w:p>
              </w:tc>
              <w:tc>
                <w:tcPr>
                  <w:tcW w:w="642" w:type="pct"/>
                  <w:vAlign w:val="center"/>
                </w:tcPr>
                <w:p w14:paraId="1C0E850B" w14:textId="04799455" w:rsidR="0007041A" w:rsidRPr="003A2249" w:rsidRDefault="00073C53" w:rsidP="00465D73">
                  <w:pPr>
                    <w:tabs>
                      <w:tab w:val="left" w:pos="2126"/>
                    </w:tabs>
                    <w:jc w:val="center"/>
                    <w:cnfStyle w:val="100000000000" w:firstRow="1"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Data policy</w:t>
                  </w:r>
                </w:p>
              </w:tc>
              <w:tc>
                <w:tcPr>
                  <w:tcW w:w="1249" w:type="pct"/>
                  <w:vAlign w:val="center"/>
                </w:tcPr>
                <w:p w14:paraId="6B65BD77" w14:textId="21CA0F0C" w:rsidR="0007041A" w:rsidRPr="003A2249" w:rsidRDefault="0007041A" w:rsidP="00465D73">
                  <w:pPr>
                    <w:tabs>
                      <w:tab w:val="left" w:pos="2126"/>
                    </w:tabs>
                    <w:jc w:val="center"/>
                    <w:cnfStyle w:val="100000000000" w:firstRow="1"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Comment</w:t>
                  </w:r>
                </w:p>
              </w:tc>
            </w:tr>
            <w:tr w:rsidR="001E45FF" w:rsidRPr="003A2249" w14:paraId="02F58561" w14:textId="11E87CAF" w:rsidTr="00465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tcPr>
                <w:p w14:paraId="0D7E5A79" w14:textId="2A06A37E" w:rsidR="0007041A" w:rsidRPr="003A2249" w:rsidRDefault="0007041A" w:rsidP="00465D73">
                  <w:pPr>
                    <w:tabs>
                      <w:tab w:val="left" w:pos="2126"/>
                    </w:tabs>
                    <w:spacing w:beforeLines="50" w:before="120" w:afterLines="50" w:after="120"/>
                    <w:rPr>
                      <w:rFonts w:ascii="Arial" w:hAnsi="Arial"/>
                      <w:sz w:val="16"/>
                      <w:lang w:val="en-US"/>
                    </w:rPr>
                  </w:pPr>
                  <w:r w:rsidRPr="003A2249">
                    <w:rPr>
                      <w:rFonts w:ascii="Arial" w:hAnsi="Arial"/>
                      <w:sz w:val="16"/>
                      <w:lang w:val="en-US"/>
                    </w:rPr>
                    <w:t>Sentinel-1</w:t>
                  </w:r>
                </w:p>
              </w:tc>
              <w:tc>
                <w:tcPr>
                  <w:tcW w:w="594" w:type="pct"/>
                </w:tcPr>
                <w:p w14:paraId="436197EB" w14:textId="70911440" w:rsidR="0007041A" w:rsidRPr="003A2249" w:rsidRDefault="0007041A" w:rsidP="00465D73">
                  <w:pPr>
                    <w:tabs>
                      <w:tab w:val="left" w:pos="2126"/>
                    </w:tabs>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3A2249">
                    <w:rPr>
                      <w:rFonts w:ascii="Arial" w:hAnsi="Arial"/>
                      <w:sz w:val="16"/>
                      <w:lang w:val="en-US"/>
                    </w:rPr>
                    <w:t>SAR</w:t>
                  </w:r>
                </w:p>
              </w:tc>
              <w:tc>
                <w:tcPr>
                  <w:tcW w:w="638" w:type="pct"/>
                </w:tcPr>
                <w:p w14:paraId="120DE28C" w14:textId="456F6322" w:rsidR="0007041A" w:rsidRPr="003A2249" w:rsidRDefault="0007041A" w:rsidP="00465D73">
                  <w:pPr>
                    <w:tabs>
                      <w:tab w:val="left" w:pos="2126"/>
                    </w:tabs>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3A2249">
                    <w:rPr>
                      <w:rFonts w:ascii="Arial" w:hAnsi="Arial"/>
                      <w:sz w:val="16"/>
                      <w:lang w:val="en-US"/>
                    </w:rPr>
                    <w:t>10 m</w:t>
                  </w:r>
                </w:p>
              </w:tc>
              <w:tc>
                <w:tcPr>
                  <w:tcW w:w="1149" w:type="pct"/>
                </w:tcPr>
                <w:p w14:paraId="20BCF29C" w14:textId="0FDB84EB" w:rsidR="0007041A" w:rsidRPr="003A2249" w:rsidRDefault="0007041A" w:rsidP="00465D73">
                  <w:pPr>
                    <w:tabs>
                      <w:tab w:val="left" w:pos="2126"/>
                    </w:tabs>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3A2249">
                    <w:rPr>
                      <w:rFonts w:ascii="Arial" w:hAnsi="Arial"/>
                      <w:sz w:val="16"/>
                      <w:lang w:val="en-US"/>
                    </w:rPr>
                    <w:t>From 2014</w:t>
                  </w:r>
                  <w:r w:rsidR="001E45FF" w:rsidRPr="003A2249">
                    <w:rPr>
                      <w:rFonts w:ascii="Arial" w:hAnsi="Arial"/>
                      <w:sz w:val="16"/>
                      <w:lang w:val="en-US"/>
                    </w:rPr>
                    <w:t xml:space="preserve"> /</w:t>
                  </w:r>
                  <w:r w:rsidR="001E45FF" w:rsidRPr="003A2249">
                    <w:t xml:space="preserve"> </w:t>
                  </w:r>
                  <w:r w:rsidR="00B674FC" w:rsidRPr="003A2249">
                    <w:br/>
                  </w:r>
                  <w:r w:rsidR="001E45FF" w:rsidRPr="003A2249">
                    <w:rPr>
                      <w:rFonts w:ascii="Arial" w:hAnsi="Arial"/>
                      <w:sz w:val="16"/>
                      <w:lang w:val="en-US"/>
                    </w:rPr>
                    <w:t>At least every 12 days g</w:t>
                  </w:r>
                  <w:r w:rsidR="00B674FC" w:rsidRPr="003A2249">
                    <w:rPr>
                      <w:rFonts w:ascii="Arial" w:hAnsi="Arial"/>
                      <w:sz w:val="16"/>
                      <w:lang w:val="en-US"/>
                    </w:rPr>
                    <w:t>l</w:t>
                  </w:r>
                  <w:r w:rsidR="001E45FF" w:rsidRPr="003A2249">
                    <w:rPr>
                      <w:rFonts w:ascii="Arial" w:hAnsi="Arial"/>
                      <w:sz w:val="16"/>
                      <w:lang w:val="en-US"/>
                    </w:rPr>
                    <w:t>obally</w:t>
                  </w:r>
                </w:p>
              </w:tc>
              <w:tc>
                <w:tcPr>
                  <w:tcW w:w="642" w:type="pct"/>
                </w:tcPr>
                <w:p w14:paraId="39B8D5F9" w14:textId="5126940F" w:rsidR="0007041A" w:rsidRPr="003A2249" w:rsidRDefault="00150595" w:rsidP="00465D73">
                  <w:pPr>
                    <w:tabs>
                      <w:tab w:val="left" w:pos="2126"/>
                    </w:tabs>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3A2249">
                    <w:rPr>
                      <w:rFonts w:ascii="Arial" w:hAnsi="Arial"/>
                      <w:sz w:val="16"/>
                      <w:lang w:val="en-US"/>
                    </w:rPr>
                    <w:t>Free</w:t>
                  </w:r>
                  <w:r w:rsidR="00073C53" w:rsidRPr="003A2249">
                    <w:rPr>
                      <w:rFonts w:ascii="Arial" w:hAnsi="Arial"/>
                      <w:sz w:val="16"/>
                      <w:lang w:val="en-US"/>
                    </w:rPr>
                    <w:t xml:space="preserve"> and open</w:t>
                  </w:r>
                </w:p>
              </w:tc>
              <w:tc>
                <w:tcPr>
                  <w:tcW w:w="1249" w:type="pct"/>
                </w:tcPr>
                <w:p w14:paraId="1F03FFA5" w14:textId="1248F2CF" w:rsidR="0007041A" w:rsidRPr="003A2249" w:rsidRDefault="00A91BB5" w:rsidP="00465D73">
                  <w:pPr>
                    <w:tabs>
                      <w:tab w:val="left" w:pos="2126"/>
                    </w:tabs>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3A2249">
                    <w:rPr>
                      <w:rFonts w:ascii="Arial" w:hAnsi="Arial"/>
                      <w:sz w:val="16"/>
                      <w:lang w:val="en-US"/>
                    </w:rPr>
                    <w:t xml:space="preserve">Limited historical </w:t>
                  </w:r>
                  <w:r w:rsidR="00961CAB" w:rsidRPr="003A2249">
                    <w:rPr>
                      <w:rFonts w:ascii="Arial" w:hAnsi="Arial"/>
                      <w:sz w:val="16"/>
                      <w:lang w:val="en-US"/>
                    </w:rPr>
                    <w:t xml:space="preserve">data but the long-term continuity is secured under the </w:t>
                  </w:r>
                  <w:r w:rsidR="0007041A" w:rsidRPr="003A2249">
                    <w:rPr>
                      <w:rFonts w:ascii="Arial" w:hAnsi="Arial"/>
                      <w:sz w:val="16"/>
                      <w:lang w:val="en-US"/>
                    </w:rPr>
                    <w:t xml:space="preserve">Copernicus program </w:t>
                  </w:r>
                </w:p>
              </w:tc>
            </w:tr>
            <w:tr w:rsidR="00B674FC" w:rsidRPr="003A2249" w14:paraId="4D841130" w14:textId="0FC5D2C7" w:rsidTr="00465D73">
              <w:tc>
                <w:tcPr>
                  <w:cnfStyle w:val="001000000000" w:firstRow="0" w:lastRow="0" w:firstColumn="1" w:lastColumn="0" w:oddVBand="0" w:evenVBand="0" w:oddHBand="0" w:evenHBand="0" w:firstRowFirstColumn="0" w:firstRowLastColumn="0" w:lastRowFirstColumn="0" w:lastRowLastColumn="0"/>
                  <w:tcW w:w="728" w:type="pct"/>
                </w:tcPr>
                <w:p w14:paraId="200A9E80" w14:textId="7443A9F1" w:rsidR="0007041A" w:rsidRPr="003A2249" w:rsidRDefault="0007041A" w:rsidP="00465D73">
                  <w:pPr>
                    <w:tabs>
                      <w:tab w:val="left" w:pos="2126"/>
                    </w:tabs>
                    <w:spacing w:beforeLines="50" w:before="120" w:afterLines="50" w:after="120"/>
                    <w:rPr>
                      <w:rFonts w:ascii="Arial" w:hAnsi="Arial"/>
                      <w:sz w:val="16"/>
                      <w:lang w:val="en-US"/>
                    </w:rPr>
                  </w:pPr>
                  <w:r w:rsidRPr="003A2249">
                    <w:rPr>
                      <w:rFonts w:ascii="Arial" w:hAnsi="Arial"/>
                      <w:sz w:val="16"/>
                      <w:lang w:val="en-US"/>
                    </w:rPr>
                    <w:t>Seninel-2</w:t>
                  </w:r>
                </w:p>
              </w:tc>
              <w:tc>
                <w:tcPr>
                  <w:tcW w:w="594" w:type="pct"/>
                </w:tcPr>
                <w:p w14:paraId="526F5A2F" w14:textId="0619DD87" w:rsidR="0007041A" w:rsidRPr="003A2249" w:rsidRDefault="0007041A" w:rsidP="00465D73">
                  <w:pPr>
                    <w:tabs>
                      <w:tab w:val="left" w:pos="2126"/>
                    </w:tabs>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Multi-spectral</w:t>
                  </w:r>
                </w:p>
              </w:tc>
              <w:tc>
                <w:tcPr>
                  <w:tcW w:w="638" w:type="pct"/>
                </w:tcPr>
                <w:p w14:paraId="14E3AB12" w14:textId="1D3C47E2" w:rsidR="0007041A" w:rsidRPr="003A2249" w:rsidRDefault="0007041A" w:rsidP="00465D73">
                  <w:pPr>
                    <w:tabs>
                      <w:tab w:val="left" w:pos="2126"/>
                    </w:tabs>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10 m</w:t>
                  </w:r>
                </w:p>
              </w:tc>
              <w:tc>
                <w:tcPr>
                  <w:tcW w:w="1149" w:type="pct"/>
                </w:tcPr>
                <w:p w14:paraId="2801FDE2" w14:textId="7386E224" w:rsidR="0007041A" w:rsidRPr="003A2249" w:rsidRDefault="0007041A" w:rsidP="00465D73">
                  <w:pPr>
                    <w:tabs>
                      <w:tab w:val="left" w:pos="2126"/>
                    </w:tabs>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From 201</w:t>
                  </w:r>
                  <w:r w:rsidR="00D12EB7" w:rsidRPr="003A2249">
                    <w:rPr>
                      <w:rFonts w:ascii="Arial" w:hAnsi="Arial"/>
                      <w:sz w:val="16"/>
                      <w:lang w:val="en-US"/>
                    </w:rPr>
                    <w:t>5</w:t>
                  </w:r>
                  <w:r w:rsidR="001E45FF" w:rsidRPr="003A2249">
                    <w:rPr>
                      <w:rFonts w:ascii="Arial" w:hAnsi="Arial"/>
                      <w:sz w:val="16"/>
                      <w:lang w:val="en-US"/>
                    </w:rPr>
                    <w:t xml:space="preserve"> / </w:t>
                  </w:r>
                  <w:r w:rsidR="00B674FC" w:rsidRPr="003A2249">
                    <w:rPr>
                      <w:rFonts w:ascii="Arial" w:hAnsi="Arial"/>
                      <w:sz w:val="16"/>
                      <w:lang w:val="en-US"/>
                    </w:rPr>
                    <w:br/>
                  </w:r>
                  <w:r w:rsidR="001E45FF" w:rsidRPr="003A2249">
                    <w:rPr>
                      <w:rFonts w:ascii="Arial" w:hAnsi="Arial"/>
                      <w:sz w:val="16"/>
                      <w:lang w:val="en-US"/>
                    </w:rPr>
                    <w:t>Every 5 days globally</w:t>
                  </w:r>
                </w:p>
              </w:tc>
              <w:tc>
                <w:tcPr>
                  <w:tcW w:w="642" w:type="pct"/>
                </w:tcPr>
                <w:p w14:paraId="7D269DE3" w14:textId="693DD990" w:rsidR="0007041A" w:rsidRPr="003A2249" w:rsidRDefault="00150595" w:rsidP="00465D73">
                  <w:pPr>
                    <w:tabs>
                      <w:tab w:val="left" w:pos="2126"/>
                    </w:tabs>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Free</w:t>
                  </w:r>
                  <w:r w:rsidR="00073C53" w:rsidRPr="003A2249">
                    <w:rPr>
                      <w:rFonts w:ascii="Arial" w:hAnsi="Arial"/>
                      <w:sz w:val="16"/>
                      <w:lang w:val="en-US"/>
                    </w:rPr>
                    <w:t xml:space="preserve"> and open</w:t>
                  </w:r>
                </w:p>
              </w:tc>
              <w:tc>
                <w:tcPr>
                  <w:tcW w:w="1249" w:type="pct"/>
                </w:tcPr>
                <w:p w14:paraId="3333C5A8" w14:textId="15256ECF" w:rsidR="001E45FF" w:rsidRPr="003A2249" w:rsidRDefault="00961CAB" w:rsidP="00465D73">
                  <w:pPr>
                    <w:tabs>
                      <w:tab w:val="left" w:pos="2126"/>
                    </w:tabs>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Limited historical data but the long-term continuity is secured under the Copernicus program</w:t>
                  </w:r>
                  <w:r w:rsidR="00465D73">
                    <w:rPr>
                      <w:rFonts w:ascii="Arial" w:hAnsi="Arial"/>
                      <w:sz w:val="16"/>
                      <w:lang w:val="en-US"/>
                    </w:rPr>
                    <w:t xml:space="preserve"> </w:t>
                  </w:r>
                  <w:r w:rsidR="00FF4C04" w:rsidRPr="003A2249">
                    <w:rPr>
                      <w:rFonts w:ascii="Arial" w:hAnsi="Arial"/>
                      <w:sz w:val="16"/>
                      <w:lang w:val="en-US"/>
                    </w:rPr>
                    <w:t>Sensitive to clouds why useful imagery may be restricted in cloudy regions</w:t>
                  </w:r>
                </w:p>
              </w:tc>
            </w:tr>
            <w:tr w:rsidR="001E45FF" w:rsidRPr="003A2249" w14:paraId="27EB0787" w14:textId="0EA2E714" w:rsidTr="00465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tcPr>
                <w:p w14:paraId="5E9444DD" w14:textId="60D1CA60" w:rsidR="0007041A" w:rsidRPr="003A2249" w:rsidRDefault="0007041A" w:rsidP="00465D73">
                  <w:pPr>
                    <w:tabs>
                      <w:tab w:val="left" w:pos="2126"/>
                    </w:tabs>
                    <w:spacing w:beforeLines="50" w:before="120" w:afterLines="50" w:after="120"/>
                    <w:rPr>
                      <w:rFonts w:ascii="Arial" w:hAnsi="Arial"/>
                      <w:sz w:val="16"/>
                      <w:lang w:val="en-US"/>
                    </w:rPr>
                  </w:pPr>
                  <w:r w:rsidRPr="003A2249">
                    <w:rPr>
                      <w:rFonts w:ascii="Arial" w:hAnsi="Arial"/>
                      <w:sz w:val="16"/>
                      <w:lang w:val="en-US"/>
                    </w:rPr>
                    <w:t>Landsat</w:t>
                  </w:r>
                </w:p>
              </w:tc>
              <w:tc>
                <w:tcPr>
                  <w:tcW w:w="594" w:type="pct"/>
                </w:tcPr>
                <w:p w14:paraId="7922B7BC" w14:textId="38D713CC" w:rsidR="0007041A" w:rsidRPr="003A2249" w:rsidRDefault="0007041A" w:rsidP="00465D73">
                  <w:pPr>
                    <w:tabs>
                      <w:tab w:val="left" w:pos="2126"/>
                    </w:tabs>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3A2249">
                    <w:rPr>
                      <w:rFonts w:ascii="Arial" w:hAnsi="Arial"/>
                      <w:sz w:val="16"/>
                      <w:lang w:val="en-US"/>
                    </w:rPr>
                    <w:t>Multi-spectral</w:t>
                  </w:r>
                </w:p>
              </w:tc>
              <w:tc>
                <w:tcPr>
                  <w:tcW w:w="638" w:type="pct"/>
                </w:tcPr>
                <w:p w14:paraId="43EFA540" w14:textId="09CE17E5" w:rsidR="0007041A" w:rsidRPr="003A2249" w:rsidRDefault="0007041A" w:rsidP="00465D73">
                  <w:pPr>
                    <w:tabs>
                      <w:tab w:val="left" w:pos="2126"/>
                    </w:tabs>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3A2249">
                    <w:rPr>
                      <w:rFonts w:ascii="Arial" w:hAnsi="Arial"/>
                      <w:sz w:val="16"/>
                      <w:lang w:val="en-US"/>
                    </w:rPr>
                    <w:t>30 m</w:t>
                  </w:r>
                </w:p>
              </w:tc>
              <w:tc>
                <w:tcPr>
                  <w:tcW w:w="1149" w:type="pct"/>
                </w:tcPr>
                <w:p w14:paraId="10C8E438" w14:textId="189E76D1" w:rsidR="0007041A" w:rsidRPr="003A2249" w:rsidRDefault="0007041A" w:rsidP="00465D73">
                  <w:pPr>
                    <w:tabs>
                      <w:tab w:val="left" w:pos="2126"/>
                    </w:tabs>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3A2249">
                    <w:rPr>
                      <w:rFonts w:ascii="Arial" w:hAnsi="Arial"/>
                      <w:sz w:val="16"/>
                      <w:lang w:val="en-US"/>
                    </w:rPr>
                    <w:t xml:space="preserve">Since </w:t>
                  </w:r>
                  <w:r w:rsidR="00936C65" w:rsidRPr="003A2249">
                    <w:rPr>
                      <w:rFonts w:ascii="Arial" w:hAnsi="Arial"/>
                      <w:sz w:val="16"/>
                      <w:lang w:val="en-US"/>
                    </w:rPr>
                    <w:t>1984</w:t>
                  </w:r>
                  <w:r w:rsidR="001E45FF" w:rsidRPr="003A2249">
                    <w:rPr>
                      <w:rFonts w:ascii="Arial" w:hAnsi="Arial"/>
                      <w:sz w:val="16"/>
                      <w:lang w:val="en-US"/>
                    </w:rPr>
                    <w:t xml:space="preserve"> / </w:t>
                  </w:r>
                  <w:r w:rsidR="00B674FC" w:rsidRPr="003A2249">
                    <w:rPr>
                      <w:rFonts w:ascii="Arial" w:hAnsi="Arial"/>
                      <w:sz w:val="16"/>
                      <w:lang w:val="en-US"/>
                    </w:rPr>
                    <w:br/>
                  </w:r>
                  <w:r w:rsidR="001E45FF" w:rsidRPr="003A2249">
                    <w:rPr>
                      <w:rFonts w:ascii="Arial" w:hAnsi="Arial"/>
                      <w:sz w:val="16"/>
                      <w:lang w:val="en-US"/>
                    </w:rPr>
                    <w:t>Every 16 days globally</w:t>
                  </w:r>
                </w:p>
              </w:tc>
              <w:tc>
                <w:tcPr>
                  <w:tcW w:w="642" w:type="pct"/>
                </w:tcPr>
                <w:p w14:paraId="5BA36F20" w14:textId="55B40E85" w:rsidR="0007041A" w:rsidRPr="003A2249" w:rsidRDefault="00150595" w:rsidP="00465D73">
                  <w:pPr>
                    <w:tabs>
                      <w:tab w:val="left" w:pos="2126"/>
                    </w:tabs>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3A2249">
                    <w:rPr>
                      <w:rFonts w:ascii="Arial" w:hAnsi="Arial"/>
                      <w:sz w:val="16"/>
                      <w:lang w:val="en-US"/>
                    </w:rPr>
                    <w:t>Free</w:t>
                  </w:r>
                  <w:r w:rsidR="00073C53" w:rsidRPr="003A2249">
                    <w:rPr>
                      <w:rFonts w:ascii="Arial" w:hAnsi="Arial"/>
                      <w:sz w:val="16"/>
                      <w:lang w:val="en-US"/>
                    </w:rPr>
                    <w:t xml:space="preserve"> and open</w:t>
                  </w:r>
                </w:p>
              </w:tc>
              <w:tc>
                <w:tcPr>
                  <w:tcW w:w="1249" w:type="pct"/>
                </w:tcPr>
                <w:p w14:paraId="1A879ECB" w14:textId="436DEADC" w:rsidR="00FF4C04" w:rsidRPr="003A2249" w:rsidRDefault="0007041A" w:rsidP="00465D73">
                  <w:pPr>
                    <w:tabs>
                      <w:tab w:val="left" w:pos="2126"/>
                    </w:tabs>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3A2249">
                    <w:rPr>
                      <w:rFonts w:ascii="Arial" w:hAnsi="Arial"/>
                      <w:sz w:val="16"/>
                      <w:lang w:val="en-US"/>
                    </w:rPr>
                    <w:t xml:space="preserve">The </w:t>
                  </w:r>
                  <w:r w:rsidR="00936C65" w:rsidRPr="003A2249">
                    <w:rPr>
                      <w:rFonts w:ascii="Arial" w:hAnsi="Arial"/>
                      <w:sz w:val="16"/>
                      <w:lang w:val="en-US"/>
                    </w:rPr>
                    <w:t>30-meter</w:t>
                  </w:r>
                  <w:r w:rsidRPr="003A2249">
                    <w:rPr>
                      <w:rFonts w:ascii="Arial" w:hAnsi="Arial"/>
                      <w:sz w:val="16"/>
                      <w:lang w:val="en-US"/>
                    </w:rPr>
                    <w:t xml:space="preserve"> resolution </w:t>
                  </w:r>
                  <w:r w:rsidR="00A91BB5" w:rsidRPr="003A2249">
                    <w:rPr>
                      <w:rFonts w:ascii="Arial" w:hAnsi="Arial"/>
                      <w:sz w:val="16"/>
                      <w:lang w:val="en-US"/>
                    </w:rPr>
                    <w:t>i</w:t>
                  </w:r>
                  <w:r w:rsidRPr="003A2249">
                    <w:rPr>
                      <w:rFonts w:ascii="Arial" w:hAnsi="Arial"/>
                      <w:sz w:val="16"/>
                      <w:lang w:val="en-US"/>
                    </w:rPr>
                    <w:t xml:space="preserve">s a </w:t>
                  </w:r>
                  <w:r w:rsidR="00936C65" w:rsidRPr="003A2249">
                    <w:rPr>
                      <w:rFonts w:ascii="Arial" w:hAnsi="Arial"/>
                      <w:sz w:val="16"/>
                      <w:lang w:val="en-US"/>
                    </w:rPr>
                    <w:t>drawback</w:t>
                  </w:r>
                  <w:r w:rsidRPr="003A2249">
                    <w:rPr>
                      <w:rFonts w:ascii="Arial" w:hAnsi="Arial"/>
                      <w:sz w:val="16"/>
                      <w:lang w:val="en-US"/>
                    </w:rPr>
                    <w:t xml:space="preserve"> compared to </w:t>
                  </w:r>
                  <w:r w:rsidR="00FF4C04" w:rsidRPr="003A2249">
                    <w:rPr>
                      <w:rFonts w:ascii="Arial" w:hAnsi="Arial"/>
                      <w:sz w:val="16"/>
                      <w:lang w:val="en-US"/>
                    </w:rPr>
                    <w:t>the Sentinels,</w:t>
                  </w:r>
                  <w:r w:rsidRPr="003A2249">
                    <w:rPr>
                      <w:rFonts w:ascii="Arial" w:hAnsi="Arial"/>
                      <w:sz w:val="16"/>
                      <w:lang w:val="en-US"/>
                    </w:rPr>
                    <w:t xml:space="preserve"> but </w:t>
                  </w:r>
                  <w:r w:rsidR="001E45FF" w:rsidRPr="003A2249">
                    <w:rPr>
                      <w:rFonts w:ascii="Arial" w:hAnsi="Arial"/>
                      <w:sz w:val="16"/>
                      <w:lang w:val="en-US"/>
                    </w:rPr>
                    <w:t>t</w:t>
                  </w:r>
                  <w:r w:rsidRPr="003A2249">
                    <w:rPr>
                      <w:rFonts w:ascii="Arial" w:hAnsi="Arial"/>
                      <w:sz w:val="16"/>
                      <w:lang w:val="en-US"/>
                    </w:rPr>
                    <w:t xml:space="preserve">he long temporal coverage is </w:t>
                  </w:r>
                  <w:r w:rsidR="00A91BB5" w:rsidRPr="003A2249">
                    <w:rPr>
                      <w:rFonts w:ascii="Arial" w:hAnsi="Arial"/>
                      <w:sz w:val="16"/>
                      <w:lang w:val="en-US"/>
                    </w:rPr>
                    <w:lastRenderedPageBreak/>
                    <w:t>i</w:t>
                  </w:r>
                  <w:r w:rsidRPr="003A2249">
                    <w:rPr>
                      <w:rFonts w:ascii="Arial" w:hAnsi="Arial"/>
                      <w:sz w:val="16"/>
                      <w:lang w:val="en-US"/>
                    </w:rPr>
                    <w:t>nvaluable for historic mapping</w:t>
                  </w:r>
                  <w:r w:rsidR="00465D73">
                    <w:rPr>
                      <w:rFonts w:ascii="Arial" w:hAnsi="Arial"/>
                      <w:sz w:val="16"/>
                      <w:lang w:val="en-US"/>
                    </w:rPr>
                    <w:t xml:space="preserve">. </w:t>
                  </w:r>
                  <w:r w:rsidR="00FF4C04" w:rsidRPr="003A2249">
                    <w:rPr>
                      <w:rFonts w:ascii="Arial" w:hAnsi="Arial"/>
                      <w:sz w:val="16"/>
                      <w:lang w:val="en-US"/>
                    </w:rPr>
                    <w:t xml:space="preserve">Sensitive to clouds </w:t>
                  </w:r>
                  <w:r w:rsidR="00465D73">
                    <w:rPr>
                      <w:rFonts w:ascii="Arial" w:hAnsi="Arial"/>
                      <w:sz w:val="16"/>
                      <w:lang w:val="en-US"/>
                    </w:rPr>
                    <w:t>(</w:t>
                  </w:r>
                  <w:r w:rsidR="00FF4C04" w:rsidRPr="003A2249">
                    <w:rPr>
                      <w:rFonts w:ascii="Arial" w:hAnsi="Arial"/>
                      <w:sz w:val="16"/>
                      <w:lang w:val="en-US"/>
                    </w:rPr>
                    <w:t>useful imagery may be restricted in cloudy regions</w:t>
                  </w:r>
                  <w:r w:rsidR="00465D73">
                    <w:rPr>
                      <w:rFonts w:ascii="Arial" w:hAnsi="Arial"/>
                      <w:sz w:val="16"/>
                      <w:lang w:val="en-US"/>
                    </w:rPr>
                    <w:t>).</w:t>
                  </w:r>
                </w:p>
              </w:tc>
            </w:tr>
            <w:tr w:rsidR="00B674FC" w:rsidRPr="003A2249" w14:paraId="7ADBDEDD" w14:textId="67D62326" w:rsidTr="00465D73">
              <w:tc>
                <w:tcPr>
                  <w:cnfStyle w:val="001000000000" w:firstRow="0" w:lastRow="0" w:firstColumn="1" w:lastColumn="0" w:oddVBand="0" w:evenVBand="0" w:oddHBand="0" w:evenHBand="0" w:firstRowFirstColumn="0" w:firstRowLastColumn="0" w:lastRowFirstColumn="0" w:lastRowLastColumn="0"/>
                  <w:tcW w:w="728" w:type="pct"/>
                </w:tcPr>
                <w:p w14:paraId="09F6DCFD" w14:textId="338F2582" w:rsidR="0007041A" w:rsidRPr="003A2249" w:rsidRDefault="0007041A" w:rsidP="00465D73">
                  <w:pPr>
                    <w:tabs>
                      <w:tab w:val="left" w:pos="2126"/>
                    </w:tabs>
                    <w:spacing w:beforeLines="50" w:before="120" w:afterLines="50" w:after="120"/>
                    <w:rPr>
                      <w:rFonts w:ascii="Arial" w:hAnsi="Arial"/>
                      <w:sz w:val="16"/>
                      <w:lang w:val="en-US"/>
                    </w:rPr>
                  </w:pPr>
                  <w:r w:rsidRPr="003A2249">
                    <w:rPr>
                      <w:rFonts w:ascii="Arial" w:hAnsi="Arial"/>
                      <w:sz w:val="16"/>
                      <w:lang w:val="en-US"/>
                    </w:rPr>
                    <w:lastRenderedPageBreak/>
                    <w:t xml:space="preserve">Commercial </w:t>
                  </w:r>
                </w:p>
              </w:tc>
              <w:tc>
                <w:tcPr>
                  <w:tcW w:w="594" w:type="pct"/>
                </w:tcPr>
                <w:p w14:paraId="5E88821E" w14:textId="6B609668" w:rsidR="0007041A" w:rsidRPr="003A2249" w:rsidRDefault="0007041A" w:rsidP="00465D73">
                  <w:pPr>
                    <w:tabs>
                      <w:tab w:val="left" w:pos="2126"/>
                    </w:tabs>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SAR and Multi-spectral</w:t>
                  </w:r>
                </w:p>
              </w:tc>
              <w:tc>
                <w:tcPr>
                  <w:tcW w:w="638" w:type="pct"/>
                </w:tcPr>
                <w:p w14:paraId="35F4992F" w14:textId="5BB0748D" w:rsidR="0007041A" w:rsidRPr="003A2249" w:rsidRDefault="0007041A" w:rsidP="00465D73">
                  <w:pPr>
                    <w:tabs>
                      <w:tab w:val="left" w:pos="2126"/>
                    </w:tabs>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0,5 to 2.5 meters</w:t>
                  </w:r>
                </w:p>
              </w:tc>
              <w:tc>
                <w:tcPr>
                  <w:tcW w:w="1149" w:type="pct"/>
                </w:tcPr>
                <w:p w14:paraId="2BDA83DD" w14:textId="22C70D1E" w:rsidR="0007041A" w:rsidRPr="003A2249" w:rsidRDefault="00936C65" w:rsidP="00465D73">
                  <w:pPr>
                    <w:tabs>
                      <w:tab w:val="left" w:pos="2126"/>
                    </w:tabs>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Since ~2000</w:t>
                  </w:r>
                  <w:r w:rsidR="00465D73">
                    <w:rPr>
                      <w:rFonts w:ascii="Arial" w:hAnsi="Arial"/>
                      <w:sz w:val="16"/>
                      <w:lang w:val="en-US"/>
                    </w:rPr>
                    <w:t>;</w:t>
                  </w:r>
                  <w:r w:rsidR="001E45FF" w:rsidRPr="003A2249">
                    <w:rPr>
                      <w:rFonts w:ascii="Arial" w:hAnsi="Arial"/>
                      <w:sz w:val="16"/>
                      <w:lang w:val="en-US"/>
                    </w:rPr>
                    <w:t xml:space="preserve"> </w:t>
                  </w:r>
                  <w:r w:rsidR="00B674FC" w:rsidRPr="003A2249">
                    <w:rPr>
                      <w:rFonts w:ascii="Arial" w:hAnsi="Arial"/>
                      <w:sz w:val="16"/>
                      <w:lang w:val="en-US"/>
                    </w:rPr>
                    <w:br/>
                    <w:t xml:space="preserve">New </w:t>
                  </w:r>
                  <w:r w:rsidR="001E45FF" w:rsidRPr="003A2249">
                    <w:rPr>
                      <w:rFonts w:ascii="Arial" w:hAnsi="Arial"/>
                      <w:sz w:val="16"/>
                      <w:lang w:val="en-US"/>
                    </w:rPr>
                    <w:t>acquisitions</w:t>
                  </w:r>
                  <w:r w:rsidR="00B674FC" w:rsidRPr="003A2249">
                    <w:rPr>
                      <w:rFonts w:ascii="Arial" w:hAnsi="Arial"/>
                      <w:sz w:val="16"/>
                      <w:lang w:val="en-US"/>
                    </w:rPr>
                    <w:t xml:space="preserve"> (on demand</w:t>
                  </w:r>
                  <w:r w:rsidR="001E45FF" w:rsidRPr="003A2249">
                    <w:rPr>
                      <w:rFonts w:ascii="Arial" w:hAnsi="Arial"/>
                      <w:sz w:val="16"/>
                      <w:lang w:val="en-US"/>
                    </w:rPr>
                    <w:t xml:space="preserve">); </w:t>
                  </w:r>
                  <w:r w:rsidR="00B674FC" w:rsidRPr="003A2249">
                    <w:rPr>
                      <w:rFonts w:ascii="Arial" w:hAnsi="Arial"/>
                      <w:sz w:val="16"/>
                      <w:lang w:val="en-US"/>
                    </w:rPr>
                    <w:t>H</w:t>
                  </w:r>
                  <w:r w:rsidR="001E45FF" w:rsidRPr="003A2249">
                    <w:rPr>
                      <w:rFonts w:ascii="Arial" w:hAnsi="Arial"/>
                      <w:sz w:val="16"/>
                      <w:lang w:val="en-US"/>
                    </w:rPr>
                    <w:t>istoric imagery</w:t>
                  </w:r>
                  <w:r w:rsidR="00B674FC" w:rsidRPr="003A2249">
                    <w:rPr>
                      <w:rFonts w:ascii="Arial" w:hAnsi="Arial"/>
                      <w:sz w:val="16"/>
                      <w:lang w:val="en-US"/>
                    </w:rPr>
                    <w:t xml:space="preserve"> (depending on archive</w:t>
                  </w:r>
                  <w:r w:rsidR="001E45FF" w:rsidRPr="003A2249">
                    <w:rPr>
                      <w:rFonts w:ascii="Arial" w:hAnsi="Arial"/>
                      <w:sz w:val="16"/>
                      <w:lang w:val="en-US"/>
                    </w:rPr>
                    <w:t>)</w:t>
                  </w:r>
                </w:p>
              </w:tc>
              <w:tc>
                <w:tcPr>
                  <w:tcW w:w="642" w:type="pct"/>
                </w:tcPr>
                <w:p w14:paraId="03A56337" w14:textId="6038CF23" w:rsidR="0007041A" w:rsidRPr="003A2249" w:rsidRDefault="00FE2D85" w:rsidP="00465D73">
                  <w:pPr>
                    <w:tabs>
                      <w:tab w:val="left" w:pos="2126"/>
                    </w:tabs>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Proprietary / Cost f</w:t>
                  </w:r>
                  <w:r w:rsidR="00EC5D0E" w:rsidRPr="003A2249">
                    <w:rPr>
                      <w:rFonts w:ascii="Arial" w:hAnsi="Arial"/>
                      <w:sz w:val="16"/>
                      <w:lang w:val="en-US"/>
                    </w:rPr>
                    <w:t xml:space="preserve">rom </w:t>
                  </w:r>
                  <w:r w:rsidR="006D78CA" w:rsidRPr="003A2249">
                    <w:rPr>
                      <w:rFonts w:ascii="Arial" w:hAnsi="Arial"/>
                      <w:sz w:val="16"/>
                      <w:lang w:val="en-US"/>
                    </w:rPr>
                    <w:t xml:space="preserve">2.5 to 20 </w:t>
                  </w:r>
                  <w:r w:rsidR="006D78CA" w:rsidRPr="003A2249">
                    <w:rPr>
                      <w:rFonts w:ascii="Arial" w:hAnsi="Arial" w:cs="Arial"/>
                      <w:sz w:val="16"/>
                      <w:lang w:val="en-US"/>
                    </w:rPr>
                    <w:t>€</w:t>
                  </w:r>
                  <w:r w:rsidR="006D78CA" w:rsidRPr="003A2249">
                    <w:rPr>
                      <w:rFonts w:ascii="Arial" w:hAnsi="Arial"/>
                      <w:sz w:val="16"/>
                      <w:lang w:val="en-US"/>
                    </w:rPr>
                    <w:t>/km</w:t>
                  </w:r>
                  <w:r w:rsidR="006D78CA" w:rsidRPr="003A2249">
                    <w:rPr>
                      <w:rFonts w:ascii="Arial" w:hAnsi="Arial"/>
                      <w:sz w:val="16"/>
                      <w:vertAlign w:val="superscript"/>
                      <w:lang w:val="en-US"/>
                    </w:rPr>
                    <w:t>2</w:t>
                  </w:r>
                </w:p>
              </w:tc>
              <w:tc>
                <w:tcPr>
                  <w:tcW w:w="1249" w:type="pct"/>
                </w:tcPr>
                <w:p w14:paraId="1D0F4FFC" w14:textId="7C54B543" w:rsidR="0007041A" w:rsidRPr="003A2249" w:rsidRDefault="00E450AB" w:rsidP="00465D73">
                  <w:pPr>
                    <w:tabs>
                      <w:tab w:val="left" w:pos="2126"/>
                    </w:tabs>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3A2249">
                    <w:rPr>
                      <w:rFonts w:ascii="Arial" w:hAnsi="Arial"/>
                      <w:sz w:val="16"/>
                      <w:lang w:val="en-US"/>
                    </w:rPr>
                    <w:t>Provides the highest level of detail but at expense of cost</w:t>
                  </w:r>
                </w:p>
              </w:tc>
            </w:tr>
          </w:tbl>
          <w:p w14:paraId="05EB666A" w14:textId="77777777" w:rsidR="009C54C3" w:rsidRPr="003A2249" w:rsidRDefault="009C54C3" w:rsidP="009C54C3">
            <w:p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Sentinel data can be accessed through the Data and Information Access Services (DIAS) or the Conventional Data Hubs (</w:t>
            </w:r>
            <w:hyperlink r:id="rId11" w:history="1">
              <w:r w:rsidRPr="003A2249">
                <w:rPr>
                  <w:rStyle w:val="Hyperlink"/>
                  <w:rFonts w:ascii="Arial" w:hAnsi="Arial" w:cs="Arial"/>
                  <w:sz w:val="18"/>
                  <w:szCs w:val="18"/>
                  <w:lang w:val="en-US"/>
                </w:rPr>
                <w:t>https://www.copernicus.eu/en/access-data</w:t>
              </w:r>
            </w:hyperlink>
            <w:r w:rsidRPr="003A2249">
              <w:rPr>
                <w:rFonts w:ascii="Arial" w:hAnsi="Arial" w:cs="Arial"/>
                <w:sz w:val="18"/>
                <w:szCs w:val="18"/>
                <w:lang w:val="en-US"/>
              </w:rPr>
              <w:t xml:space="preserve">) while Landsat data is available via the </w:t>
            </w:r>
            <w:proofErr w:type="spellStart"/>
            <w:r w:rsidRPr="003A2249">
              <w:rPr>
                <w:rFonts w:ascii="Arial" w:hAnsi="Arial" w:cs="Arial"/>
                <w:sz w:val="18"/>
                <w:szCs w:val="18"/>
                <w:lang w:val="en-US"/>
              </w:rPr>
              <w:t>EarthExplorer</w:t>
            </w:r>
            <w:proofErr w:type="spellEnd"/>
            <w:r w:rsidRPr="003A2249">
              <w:rPr>
                <w:rFonts w:ascii="Arial" w:hAnsi="Arial" w:cs="Arial"/>
                <w:sz w:val="18"/>
                <w:szCs w:val="18"/>
                <w:lang w:val="en-US"/>
              </w:rPr>
              <w:t xml:space="preserve"> (</w:t>
            </w:r>
            <w:hyperlink r:id="rId12" w:history="1">
              <w:r w:rsidRPr="003A2249">
                <w:rPr>
                  <w:rStyle w:val="Hyperlink"/>
                  <w:rFonts w:ascii="Arial" w:hAnsi="Arial" w:cs="Arial"/>
                  <w:sz w:val="18"/>
                  <w:szCs w:val="18"/>
                  <w:lang w:val="en-US"/>
                </w:rPr>
                <w:t>https://earthexplorer.usgs.gov/</w:t>
              </w:r>
            </w:hyperlink>
            <w:r w:rsidRPr="003A2249">
              <w:rPr>
                <w:rFonts w:ascii="Arial" w:hAnsi="Arial" w:cs="Arial"/>
                <w:sz w:val="18"/>
                <w:szCs w:val="18"/>
                <w:lang w:val="en-US"/>
              </w:rPr>
              <w:t xml:space="preserve"> ). Commercial satellite data can be purchased through data providers and their reseller network.</w:t>
            </w:r>
          </w:p>
          <w:p w14:paraId="762644C6" w14:textId="1B267BCB" w:rsidR="008E26C8" w:rsidRPr="003A2249" w:rsidRDefault="008E26C8" w:rsidP="00FD33D6">
            <w:pPr>
              <w:tabs>
                <w:tab w:val="left" w:pos="2126"/>
              </w:tabs>
              <w:spacing w:beforeLines="60" w:before="144" w:afterLines="60" w:after="144" w:line="240" w:lineRule="atLeast"/>
              <w:rPr>
                <w:rFonts w:ascii="Arial" w:hAnsi="Arial"/>
                <w:b/>
                <w:sz w:val="18"/>
                <w:lang w:val="en-US"/>
              </w:rPr>
            </w:pPr>
            <w:r w:rsidRPr="003A2249">
              <w:rPr>
                <w:rFonts w:ascii="Arial" w:hAnsi="Arial"/>
                <w:b/>
                <w:sz w:val="18"/>
                <w:lang w:val="en-US"/>
              </w:rPr>
              <w:t>EO based global datasets</w:t>
            </w:r>
          </w:p>
          <w:p w14:paraId="36F353C4" w14:textId="24C2F3EF" w:rsidR="009D21E9" w:rsidRPr="003A2249" w:rsidRDefault="009D21E9" w:rsidP="00FD33D6">
            <w:pPr>
              <w:tabs>
                <w:tab w:val="left" w:pos="2126"/>
              </w:tabs>
              <w:spacing w:beforeLines="60" w:before="144" w:afterLines="60" w:after="144" w:line="240" w:lineRule="atLeast"/>
              <w:rPr>
                <w:rFonts w:ascii="Arial" w:hAnsi="Arial"/>
                <w:sz w:val="18"/>
                <w:lang w:val="en-US"/>
              </w:rPr>
            </w:pPr>
            <w:r w:rsidRPr="003A2249">
              <w:rPr>
                <w:rFonts w:ascii="Arial" w:hAnsi="Arial"/>
                <w:i/>
                <w:sz w:val="18"/>
                <w:lang w:val="en-US"/>
              </w:rPr>
              <w:t>Built-up datasets</w:t>
            </w:r>
            <w:r w:rsidRPr="003A2249">
              <w:rPr>
                <w:rFonts w:ascii="Arial" w:hAnsi="Arial"/>
                <w:sz w:val="18"/>
                <w:lang w:val="en-US"/>
              </w:rPr>
              <w:t>:</w:t>
            </w:r>
          </w:p>
          <w:p w14:paraId="4BF37C18" w14:textId="6118FD58" w:rsidR="00832AE3" w:rsidRPr="003A2249" w:rsidRDefault="00832AE3" w:rsidP="00AB1129">
            <w:pPr>
              <w:pStyle w:val="ListParagraph"/>
              <w:numPr>
                <w:ilvl w:val="0"/>
                <w:numId w:val="3"/>
              </w:numPr>
              <w:tabs>
                <w:tab w:val="left" w:pos="2126"/>
              </w:tabs>
              <w:spacing w:beforeLines="60" w:before="144" w:afterLines="60" w:after="144" w:line="240" w:lineRule="atLeast"/>
              <w:rPr>
                <w:rFonts w:ascii="Arial" w:hAnsi="Arial"/>
                <w:sz w:val="18"/>
                <w:lang w:val="en-US"/>
              </w:rPr>
            </w:pPr>
            <w:r w:rsidRPr="003A2249">
              <w:rPr>
                <w:rFonts w:ascii="Arial" w:hAnsi="Arial"/>
                <w:b/>
                <w:sz w:val="18"/>
                <w:lang w:val="en-US"/>
              </w:rPr>
              <w:t>The Global Human Settlement Built-up</w:t>
            </w:r>
            <w:r w:rsidRPr="003A2249">
              <w:rPr>
                <w:rFonts w:ascii="Arial" w:hAnsi="Arial"/>
                <w:sz w:val="18"/>
                <w:lang w:val="en-US"/>
              </w:rPr>
              <w:t xml:space="preserve"> (GHS BU) is developed and maintained by the European Commission’s Joint Research Centre (JRC). It </w:t>
            </w:r>
            <w:r w:rsidR="002A27F5" w:rsidRPr="003A2249">
              <w:rPr>
                <w:rFonts w:ascii="Arial" w:hAnsi="Arial"/>
                <w:sz w:val="18"/>
                <w:lang w:val="en-US"/>
              </w:rPr>
              <w:t>relies on several Landsat image collections</w:t>
            </w:r>
            <w:r w:rsidRPr="003A2249">
              <w:rPr>
                <w:rFonts w:ascii="Arial" w:hAnsi="Arial"/>
                <w:sz w:val="18"/>
                <w:lang w:val="en-US"/>
              </w:rPr>
              <w:t xml:space="preserve"> to automatically retrieve information about settlement extent</w:t>
            </w:r>
            <w:r w:rsidR="002A27F5" w:rsidRPr="003A2249">
              <w:rPr>
                <w:rFonts w:ascii="Arial" w:hAnsi="Arial"/>
                <w:sz w:val="18"/>
                <w:lang w:val="en-US"/>
              </w:rPr>
              <w:t xml:space="preserve"> for selected time epochs i.e. 1975, 1990, 2000 and 2015</w:t>
            </w:r>
            <w:r w:rsidRPr="003A2249">
              <w:rPr>
                <w:rFonts w:ascii="Arial" w:hAnsi="Arial"/>
                <w:sz w:val="18"/>
                <w:lang w:val="en-US"/>
              </w:rPr>
              <w:t xml:space="preserve">: </w:t>
            </w:r>
            <w:hyperlink r:id="rId13" w:history="1">
              <w:r w:rsidRPr="003A2249">
                <w:rPr>
                  <w:rStyle w:val="Hyperlink"/>
                  <w:rFonts w:ascii="Arial" w:hAnsi="Arial"/>
                  <w:sz w:val="18"/>
                  <w:lang w:val="en-US"/>
                </w:rPr>
                <w:t>https://ghsl.jrc.ec.europa.eu/data.php</w:t>
              </w:r>
            </w:hyperlink>
            <w:r w:rsidRPr="003A2249">
              <w:rPr>
                <w:rFonts w:ascii="Arial" w:eastAsiaTheme="minorHAnsi" w:hAnsi="Arial" w:cstheme="minorBidi"/>
                <w:sz w:val="18"/>
                <w:lang w:val="en-US" w:eastAsia="en-US"/>
              </w:rPr>
              <w:t xml:space="preserve"> </w:t>
            </w:r>
          </w:p>
          <w:p w14:paraId="56EC805B" w14:textId="54EB64E0" w:rsidR="00832AE3" w:rsidRPr="003A2249" w:rsidRDefault="00832AE3" w:rsidP="00AB1129">
            <w:pPr>
              <w:pStyle w:val="ListParagraph"/>
              <w:numPr>
                <w:ilvl w:val="0"/>
                <w:numId w:val="3"/>
              </w:numPr>
              <w:tabs>
                <w:tab w:val="left" w:pos="2126"/>
              </w:tabs>
              <w:spacing w:beforeLines="60" w:before="144" w:afterLines="60" w:after="144" w:line="240" w:lineRule="atLeast"/>
              <w:rPr>
                <w:rFonts w:ascii="Arial" w:hAnsi="Arial"/>
                <w:sz w:val="18"/>
                <w:lang w:val="en-US"/>
              </w:rPr>
            </w:pPr>
            <w:r w:rsidRPr="003A2249">
              <w:rPr>
                <w:rFonts w:ascii="Arial" w:hAnsi="Arial"/>
                <w:b/>
                <w:sz w:val="18"/>
                <w:lang w:val="en-US"/>
              </w:rPr>
              <w:t>The Global Urban Footprint</w:t>
            </w:r>
            <w:r w:rsidRPr="003A2249">
              <w:rPr>
                <w:rFonts w:ascii="Arial" w:hAnsi="Arial"/>
                <w:sz w:val="18"/>
                <w:lang w:val="en-US"/>
              </w:rPr>
              <w:t xml:space="preserve"> (GUF) developed by the German Aerospace Center (DLR), based on 2010–2014 </w:t>
            </w:r>
            <w:r w:rsidR="0082124D" w:rsidRPr="003A2249">
              <w:rPr>
                <w:rFonts w:ascii="Arial" w:hAnsi="Arial"/>
                <w:sz w:val="18"/>
                <w:lang w:val="en-US"/>
              </w:rPr>
              <w:t xml:space="preserve">X-band </w:t>
            </w:r>
            <w:r w:rsidRPr="003A2249">
              <w:rPr>
                <w:rFonts w:ascii="Arial" w:hAnsi="Arial"/>
                <w:sz w:val="18"/>
                <w:lang w:val="en-US"/>
              </w:rPr>
              <w:t>SAR (Synthetic Aperture Radar)</w:t>
            </w:r>
            <w:r w:rsidR="0082124D" w:rsidRPr="003A2249">
              <w:rPr>
                <w:rFonts w:ascii="Arial" w:hAnsi="Arial"/>
                <w:sz w:val="18"/>
                <w:lang w:val="en-US"/>
              </w:rPr>
              <w:t xml:space="preserve"> imagery acquired by </w:t>
            </w:r>
            <w:proofErr w:type="spellStart"/>
            <w:r w:rsidR="0082124D" w:rsidRPr="003A2249">
              <w:rPr>
                <w:rFonts w:ascii="Arial" w:hAnsi="Arial"/>
                <w:sz w:val="18"/>
                <w:lang w:val="en-US"/>
              </w:rPr>
              <w:t>TerraSAR</w:t>
            </w:r>
            <w:proofErr w:type="spellEnd"/>
            <w:r w:rsidR="0082124D" w:rsidRPr="003A2249">
              <w:rPr>
                <w:rFonts w:ascii="Arial" w:hAnsi="Arial"/>
                <w:sz w:val="18"/>
                <w:lang w:val="en-US"/>
              </w:rPr>
              <w:t xml:space="preserve">-X and </w:t>
            </w:r>
            <w:proofErr w:type="spellStart"/>
            <w:r w:rsidR="0082124D" w:rsidRPr="003A2249">
              <w:rPr>
                <w:rFonts w:ascii="Arial" w:hAnsi="Arial"/>
                <w:sz w:val="18"/>
                <w:lang w:val="en-US"/>
              </w:rPr>
              <w:t>TanDEM</w:t>
            </w:r>
            <w:proofErr w:type="spellEnd"/>
            <w:r w:rsidR="0082124D" w:rsidRPr="003A2249">
              <w:rPr>
                <w:rFonts w:ascii="Arial" w:hAnsi="Arial"/>
                <w:sz w:val="18"/>
                <w:lang w:val="en-US"/>
              </w:rPr>
              <w:t>—X</w:t>
            </w:r>
            <w:r w:rsidRPr="003A2249">
              <w:rPr>
                <w:rFonts w:ascii="Arial" w:hAnsi="Arial"/>
                <w:sz w:val="18"/>
                <w:lang w:val="en-US"/>
              </w:rPr>
              <w:t xml:space="preserve">. It shows urban, non-urban and water areas globally at resolutions up to 12 m (75 meters for public </w:t>
            </w:r>
            <w:r w:rsidR="00B674FC" w:rsidRPr="003A2249">
              <w:rPr>
                <w:rFonts w:ascii="Arial" w:hAnsi="Arial"/>
                <w:sz w:val="18"/>
                <w:lang w:val="en-US"/>
              </w:rPr>
              <w:t>access</w:t>
            </w:r>
            <w:r w:rsidRPr="003A2249">
              <w:rPr>
                <w:rFonts w:ascii="Arial" w:hAnsi="Arial"/>
                <w:sz w:val="18"/>
                <w:lang w:val="en-US"/>
              </w:rPr>
              <w:t>). (</w:t>
            </w:r>
            <w:hyperlink r:id="rId14" w:history="1">
              <w:r w:rsidR="006035FD" w:rsidRPr="003A2249">
                <w:rPr>
                  <w:rStyle w:val="Hyperlink"/>
                  <w:rFonts w:ascii="Arial" w:hAnsi="Arial"/>
                  <w:sz w:val="18"/>
                  <w:lang w:val="en-US"/>
                </w:rPr>
                <w:t>https://www.dlr.de/eoc/en/desktopdefault.aspx/tabid-9628/16557_read-40454/</w:t>
              </w:r>
            </w:hyperlink>
            <w:r w:rsidRPr="003A2249">
              <w:rPr>
                <w:rFonts w:ascii="Arial" w:hAnsi="Arial"/>
                <w:sz w:val="18"/>
                <w:lang w:val="en-US"/>
              </w:rPr>
              <w:t>)</w:t>
            </w:r>
          </w:p>
          <w:p w14:paraId="0929A612" w14:textId="48D2A8E4" w:rsidR="006035FD" w:rsidRPr="003A2249" w:rsidRDefault="00300DC5" w:rsidP="00AB1129">
            <w:pPr>
              <w:pStyle w:val="ListParagraph"/>
              <w:numPr>
                <w:ilvl w:val="0"/>
                <w:numId w:val="3"/>
              </w:num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The</w:t>
            </w:r>
            <w:r w:rsidRPr="003A2249">
              <w:rPr>
                <w:rFonts w:ascii="Arial" w:hAnsi="Arial"/>
                <w:b/>
                <w:sz w:val="18"/>
                <w:lang w:val="en-US"/>
              </w:rPr>
              <w:t xml:space="preserve"> World Settlement Footprint 2015 (WSF-2015) </w:t>
            </w:r>
            <w:r w:rsidRPr="003A2249">
              <w:rPr>
                <w:rFonts w:ascii="Arial" w:hAnsi="Arial"/>
                <w:sz w:val="18"/>
                <w:lang w:val="en-US"/>
              </w:rPr>
              <w:t xml:space="preserve">is the first map, using mass collections of </w:t>
            </w:r>
            <w:r w:rsidR="00A605C2" w:rsidRPr="003A2249">
              <w:rPr>
                <w:rFonts w:ascii="Arial" w:hAnsi="Arial"/>
                <w:sz w:val="18"/>
                <w:lang w:val="en-US"/>
              </w:rPr>
              <w:t>Landsat and Sentinel-1 imagery</w:t>
            </w:r>
            <w:r w:rsidR="00DB77EB" w:rsidRPr="003A2249">
              <w:rPr>
                <w:rFonts w:ascii="Arial" w:hAnsi="Arial"/>
                <w:sz w:val="18"/>
                <w:lang w:val="en-US"/>
              </w:rPr>
              <w:t xml:space="preserve"> from 2014-15 timeframe</w:t>
            </w:r>
            <w:r w:rsidRPr="003A2249">
              <w:rPr>
                <w:rFonts w:ascii="Arial" w:hAnsi="Arial"/>
                <w:sz w:val="18"/>
                <w:lang w:val="en-US"/>
              </w:rPr>
              <w:t>, to provide a global overview of the world’s human settlement</w:t>
            </w:r>
            <w:r w:rsidR="00606763" w:rsidRPr="003A2249">
              <w:rPr>
                <w:rFonts w:ascii="Arial" w:hAnsi="Arial"/>
                <w:sz w:val="18"/>
                <w:lang w:val="en-US"/>
              </w:rPr>
              <w:t>s</w:t>
            </w:r>
            <w:r w:rsidR="00DB77EB" w:rsidRPr="003A2249">
              <w:rPr>
                <w:rFonts w:ascii="Arial" w:hAnsi="Arial"/>
                <w:sz w:val="18"/>
                <w:lang w:val="en-US"/>
              </w:rPr>
              <w:t xml:space="preserve">. WSF </w:t>
            </w:r>
            <w:r w:rsidR="00465DE7" w:rsidRPr="003A2249">
              <w:rPr>
                <w:rFonts w:ascii="Arial" w:hAnsi="Arial"/>
                <w:sz w:val="18"/>
                <w:lang w:val="en-US"/>
              </w:rPr>
              <w:t xml:space="preserve">has been </w:t>
            </w:r>
            <w:r w:rsidR="002A27F5" w:rsidRPr="003A2249">
              <w:rPr>
                <w:rFonts w:ascii="Arial" w:hAnsi="Arial"/>
                <w:sz w:val="18"/>
                <w:lang w:val="en-US"/>
              </w:rPr>
              <w:t xml:space="preserve">developed by DLR under </w:t>
            </w:r>
            <w:r w:rsidR="00465DE7" w:rsidRPr="003A2249">
              <w:rPr>
                <w:rFonts w:ascii="Arial" w:hAnsi="Arial"/>
                <w:sz w:val="18"/>
                <w:lang w:val="en-US"/>
              </w:rPr>
              <w:t xml:space="preserve">ESA </w:t>
            </w:r>
            <w:r w:rsidR="002A27F5" w:rsidRPr="003A2249">
              <w:rPr>
                <w:rFonts w:ascii="Arial" w:hAnsi="Arial"/>
                <w:sz w:val="18"/>
                <w:lang w:val="en-US"/>
              </w:rPr>
              <w:t xml:space="preserve">funds </w:t>
            </w:r>
            <w:r w:rsidR="00937423" w:rsidRPr="003A2249">
              <w:rPr>
                <w:rFonts w:ascii="Arial" w:hAnsi="Arial"/>
                <w:sz w:val="18"/>
                <w:lang w:val="en-US"/>
              </w:rPr>
              <w:t xml:space="preserve">and </w:t>
            </w:r>
            <w:r w:rsidR="002A27F5" w:rsidRPr="003A2249">
              <w:rPr>
                <w:rFonts w:ascii="Arial" w:hAnsi="Arial"/>
                <w:sz w:val="18"/>
                <w:lang w:val="en-US"/>
              </w:rPr>
              <w:t>currently</w:t>
            </w:r>
            <w:r w:rsidR="00937423" w:rsidRPr="003A2249">
              <w:rPr>
                <w:rFonts w:ascii="Arial" w:hAnsi="Arial"/>
                <w:sz w:val="18"/>
                <w:lang w:val="en-US"/>
              </w:rPr>
              <w:t xml:space="preserve"> </w:t>
            </w:r>
            <w:r w:rsidR="007A512C" w:rsidRPr="003A2249">
              <w:rPr>
                <w:rFonts w:ascii="Arial" w:hAnsi="Arial"/>
                <w:sz w:val="18"/>
                <w:lang w:val="en-US"/>
              </w:rPr>
              <w:t>available</w:t>
            </w:r>
            <w:r w:rsidR="00937423" w:rsidRPr="003A2249">
              <w:rPr>
                <w:rFonts w:ascii="Arial" w:hAnsi="Arial"/>
                <w:sz w:val="18"/>
                <w:lang w:val="en-US"/>
              </w:rPr>
              <w:t xml:space="preserve"> for </w:t>
            </w:r>
            <w:r w:rsidR="00226790" w:rsidRPr="003A2249">
              <w:rPr>
                <w:rFonts w:ascii="Arial" w:hAnsi="Arial"/>
                <w:sz w:val="18"/>
                <w:lang w:val="en-US"/>
              </w:rPr>
              <w:t>viewing</w:t>
            </w:r>
            <w:r w:rsidR="00937423" w:rsidRPr="003A2249">
              <w:rPr>
                <w:rFonts w:ascii="Arial" w:hAnsi="Arial"/>
                <w:sz w:val="18"/>
                <w:lang w:val="en-US"/>
              </w:rPr>
              <w:t xml:space="preserve"> on </w:t>
            </w:r>
            <w:r w:rsidR="00465DE7" w:rsidRPr="003A2249">
              <w:rPr>
                <w:rFonts w:ascii="Arial" w:hAnsi="Arial"/>
                <w:sz w:val="18"/>
                <w:lang w:val="en-US"/>
              </w:rPr>
              <w:t>U-TEP</w:t>
            </w:r>
            <w:r w:rsidR="00226790" w:rsidRPr="003A2249">
              <w:rPr>
                <w:rFonts w:ascii="Arial" w:hAnsi="Arial"/>
                <w:sz w:val="18"/>
                <w:lang w:val="en-US"/>
              </w:rPr>
              <w:t xml:space="preserve">: </w:t>
            </w:r>
            <w:hyperlink r:id="rId15" w:history="1">
              <w:r w:rsidR="00B1388C" w:rsidRPr="003A2249">
                <w:rPr>
                  <w:rStyle w:val="Hyperlink"/>
                  <w:rFonts w:ascii="Arial" w:hAnsi="Arial"/>
                  <w:sz w:val="18"/>
                  <w:lang w:val="en-US"/>
                </w:rPr>
                <w:t>https://urban-tep.eu/puma/tool/?id=574795484&amp;lang=en</w:t>
              </w:r>
            </w:hyperlink>
            <w:r w:rsidR="002A27F5" w:rsidRPr="003A2249">
              <w:rPr>
                <w:rStyle w:val="Hyperlink"/>
                <w:rFonts w:ascii="Arial" w:hAnsi="Arial"/>
                <w:sz w:val="18"/>
                <w:lang w:val="en-US"/>
              </w:rPr>
              <w:t xml:space="preserve">. </w:t>
            </w:r>
            <w:r w:rsidR="00B1388C" w:rsidRPr="003A2249">
              <w:rPr>
                <w:rFonts w:ascii="Arial" w:hAnsi="Arial"/>
                <w:sz w:val="18"/>
                <w:lang w:val="en-US"/>
              </w:rPr>
              <w:t xml:space="preserve"> </w:t>
            </w:r>
            <w:r w:rsidR="00A605C2" w:rsidRPr="003A2249">
              <w:rPr>
                <w:rFonts w:ascii="Arial" w:hAnsi="Arial"/>
                <w:sz w:val="18"/>
                <w:lang w:val="en-US"/>
              </w:rPr>
              <w:t xml:space="preserve">An updated version (i.e. </w:t>
            </w:r>
            <w:r w:rsidR="002A27F5" w:rsidRPr="003A2249">
              <w:rPr>
                <w:rFonts w:ascii="Arial" w:hAnsi="Arial"/>
                <w:sz w:val="18"/>
                <w:lang w:val="en-US"/>
              </w:rPr>
              <w:t>WSF</w:t>
            </w:r>
            <w:r w:rsidR="00A605C2" w:rsidRPr="003A2249">
              <w:rPr>
                <w:rFonts w:ascii="Arial" w:hAnsi="Arial"/>
                <w:sz w:val="18"/>
                <w:lang w:val="en-US"/>
              </w:rPr>
              <w:t>-</w:t>
            </w:r>
            <w:r w:rsidR="002A27F5" w:rsidRPr="003A2249">
              <w:rPr>
                <w:rFonts w:ascii="Arial" w:hAnsi="Arial"/>
                <w:sz w:val="18"/>
                <w:lang w:val="en-US"/>
              </w:rPr>
              <w:t>2018)</w:t>
            </w:r>
            <w:r w:rsidR="00A605C2" w:rsidRPr="003A2249">
              <w:rPr>
                <w:rFonts w:ascii="Arial" w:hAnsi="Arial"/>
                <w:sz w:val="18"/>
                <w:lang w:val="en-US"/>
              </w:rPr>
              <w:t xml:space="preserve"> based on Sentinel-1 and sentinel-2 imagery will be available by end of 2019. In preparation is also the WSF evolution product which relies on Landsat Imagery to map historical changes relative to WSF 2015.</w:t>
            </w:r>
          </w:p>
          <w:p w14:paraId="31138951" w14:textId="1B68C109" w:rsidR="00C262A1" w:rsidRPr="003A2249" w:rsidRDefault="0044067B" w:rsidP="00AB1129">
            <w:pPr>
              <w:pStyle w:val="ListParagraph"/>
              <w:numPr>
                <w:ilvl w:val="0"/>
                <w:numId w:val="3"/>
              </w:numPr>
              <w:tabs>
                <w:tab w:val="left" w:pos="2126"/>
              </w:tabs>
              <w:spacing w:beforeLines="60" w:before="144" w:afterLines="60" w:after="144" w:line="240" w:lineRule="atLeast"/>
              <w:rPr>
                <w:rFonts w:ascii="Arial" w:hAnsi="Arial"/>
                <w:sz w:val="18"/>
                <w:lang w:val="en-US"/>
              </w:rPr>
            </w:pPr>
            <w:r w:rsidRPr="003A2249">
              <w:rPr>
                <w:rFonts w:ascii="Arial" w:hAnsi="Arial"/>
                <w:sz w:val="18"/>
                <w:lang w:val="en-US"/>
              </w:rPr>
              <w:t xml:space="preserve">The </w:t>
            </w:r>
            <w:r w:rsidRPr="003A2249">
              <w:rPr>
                <w:rFonts w:ascii="Arial" w:hAnsi="Arial"/>
                <w:b/>
                <w:sz w:val="18"/>
                <w:lang w:val="en-US"/>
              </w:rPr>
              <w:t>Atlas of Urban Expansion</w:t>
            </w:r>
            <w:r w:rsidRPr="003A2249">
              <w:rPr>
                <w:rFonts w:ascii="Arial" w:hAnsi="Arial"/>
                <w:sz w:val="18"/>
                <w:lang w:val="en-US"/>
              </w:rPr>
              <w:t xml:space="preserve"> is an open-source online resource with maps, satellite images, and data on spatial changes in cities around the world</w:t>
            </w:r>
            <w:r w:rsidR="00096464" w:rsidRPr="003A2249">
              <w:rPr>
                <w:rFonts w:ascii="Arial" w:hAnsi="Arial"/>
                <w:sz w:val="18"/>
                <w:lang w:val="en-US"/>
              </w:rPr>
              <w:t xml:space="preserve"> from 1990 to 2015. The atlas is</w:t>
            </w:r>
            <w:r w:rsidRPr="003A2249">
              <w:rPr>
                <w:rFonts w:ascii="Arial" w:hAnsi="Arial"/>
                <w:sz w:val="18"/>
                <w:lang w:val="en-US"/>
              </w:rPr>
              <w:t xml:space="preserve"> created in partnership by the Lincoln Institute of Land Policy, UN-Habitat, and New York University</w:t>
            </w:r>
            <w:r w:rsidR="00BE1376" w:rsidRPr="003A2249">
              <w:rPr>
                <w:rFonts w:ascii="Arial" w:hAnsi="Arial"/>
                <w:sz w:val="18"/>
                <w:lang w:val="en-US"/>
              </w:rPr>
              <w:t xml:space="preserve"> (</w:t>
            </w:r>
            <w:hyperlink r:id="rId16" w:history="1">
              <w:r w:rsidR="00BE1376" w:rsidRPr="003A2249">
                <w:rPr>
                  <w:rStyle w:val="Hyperlink"/>
                  <w:rFonts w:ascii="Arial" w:hAnsi="Arial"/>
                  <w:sz w:val="18"/>
                  <w:lang w:val="en-US"/>
                </w:rPr>
                <w:t>http://www.atlasofurbanexpansion.org/</w:t>
              </w:r>
            </w:hyperlink>
            <w:r w:rsidR="00BE1376" w:rsidRPr="003A2249">
              <w:rPr>
                <w:rFonts w:ascii="Arial" w:hAnsi="Arial"/>
                <w:sz w:val="18"/>
                <w:lang w:val="en-US"/>
              </w:rPr>
              <w:t xml:space="preserve"> )</w:t>
            </w:r>
          </w:p>
          <w:p w14:paraId="1CC244F2" w14:textId="33924D52" w:rsidR="00D162CA" w:rsidRPr="003A2249" w:rsidRDefault="00D162CA" w:rsidP="00AB1129">
            <w:pPr>
              <w:pStyle w:val="ListParagraph"/>
              <w:numPr>
                <w:ilvl w:val="0"/>
                <w:numId w:val="3"/>
              </w:numPr>
              <w:tabs>
                <w:tab w:val="left" w:pos="2126"/>
              </w:tabs>
              <w:spacing w:beforeLines="60" w:before="144" w:afterLines="60" w:after="144" w:line="240" w:lineRule="atLeast"/>
              <w:rPr>
                <w:rFonts w:ascii="Arial" w:hAnsi="Arial"/>
                <w:sz w:val="18"/>
                <w:lang w:val="en-US"/>
              </w:rPr>
            </w:pPr>
            <w:r w:rsidRPr="003A2249">
              <w:rPr>
                <w:rFonts w:ascii="Arial" w:hAnsi="Arial"/>
                <w:b/>
                <w:sz w:val="18"/>
                <w:lang w:val="en-US"/>
              </w:rPr>
              <w:t>High Resolution Settlement Layer (built-up area)</w:t>
            </w:r>
            <w:r w:rsidRPr="003A2249">
              <w:rPr>
                <w:rFonts w:ascii="Arial" w:hAnsi="Arial"/>
                <w:sz w:val="18"/>
                <w:lang w:val="en-US"/>
              </w:rPr>
              <w:t>: A high-resolution settlement extent datasets developed by the Connectivity Lab at Facebook using computer vision techniques to classify blocks of optical satellite data as settled (containing buildings) or not. The settlement layer ha</w:t>
            </w:r>
            <w:r w:rsidR="00D766F6" w:rsidRPr="003A2249">
              <w:rPr>
                <w:rFonts w:ascii="Arial" w:hAnsi="Arial"/>
                <w:sz w:val="18"/>
                <w:lang w:val="en-US"/>
              </w:rPr>
              <w:t>s</w:t>
            </w:r>
            <w:r w:rsidRPr="003A2249">
              <w:rPr>
                <w:rFonts w:ascii="Arial" w:hAnsi="Arial"/>
                <w:sz w:val="18"/>
                <w:lang w:val="en-US"/>
              </w:rPr>
              <w:t xml:space="preserve"> been developed for 33 countries: </w:t>
            </w:r>
            <w:hyperlink r:id="rId17" w:history="1">
              <w:r w:rsidRPr="003A2249">
                <w:rPr>
                  <w:rStyle w:val="Hyperlink"/>
                  <w:rFonts w:ascii="Arial" w:hAnsi="Arial"/>
                  <w:sz w:val="18"/>
                  <w:lang w:val="en-US"/>
                </w:rPr>
                <w:t>https://www.ciesin.columbia.edu/data/hrsl/</w:t>
              </w:r>
            </w:hyperlink>
            <w:r w:rsidRPr="003A2249">
              <w:rPr>
                <w:rFonts w:ascii="Arial" w:hAnsi="Arial"/>
                <w:sz w:val="18"/>
                <w:lang w:val="en-US"/>
              </w:rPr>
              <w:t xml:space="preserve"> </w:t>
            </w:r>
          </w:p>
          <w:p w14:paraId="59B6915D" w14:textId="77BF9109" w:rsidR="00832AE3" w:rsidRPr="003A2249" w:rsidRDefault="009D21E9" w:rsidP="00FD33D6">
            <w:pPr>
              <w:tabs>
                <w:tab w:val="left" w:pos="2126"/>
              </w:tabs>
              <w:spacing w:beforeLines="60" w:before="144" w:afterLines="60" w:after="144" w:line="240" w:lineRule="atLeast"/>
              <w:rPr>
                <w:rFonts w:ascii="Arial" w:hAnsi="Arial"/>
                <w:i/>
                <w:sz w:val="18"/>
                <w:lang w:val="en-US"/>
              </w:rPr>
            </w:pPr>
            <w:r w:rsidRPr="003A2249">
              <w:rPr>
                <w:rFonts w:ascii="Arial" w:hAnsi="Arial"/>
                <w:i/>
                <w:sz w:val="18"/>
                <w:lang w:val="en-US"/>
              </w:rPr>
              <w:t>Population datasets</w:t>
            </w:r>
            <w:r w:rsidR="00AD0960" w:rsidRPr="003A2249">
              <w:rPr>
                <w:rFonts w:ascii="Arial" w:hAnsi="Arial"/>
                <w:i/>
                <w:sz w:val="18"/>
                <w:lang w:val="en-US"/>
              </w:rPr>
              <w:t>:</w:t>
            </w:r>
          </w:p>
          <w:p w14:paraId="7FB2E27C" w14:textId="77777777" w:rsidR="006C5583" w:rsidRPr="003A2249" w:rsidRDefault="006C5583" w:rsidP="00AB1129">
            <w:pPr>
              <w:pStyle w:val="ListParagraph"/>
              <w:numPr>
                <w:ilvl w:val="0"/>
                <w:numId w:val="3"/>
              </w:numPr>
              <w:tabs>
                <w:tab w:val="left" w:pos="2126"/>
              </w:tabs>
              <w:spacing w:beforeLines="60" w:before="144" w:afterLines="60" w:after="144" w:line="240" w:lineRule="atLeast"/>
              <w:rPr>
                <w:rFonts w:ascii="Arial" w:hAnsi="Arial"/>
                <w:i/>
                <w:sz w:val="18"/>
                <w:lang w:val="en-US"/>
              </w:rPr>
            </w:pPr>
            <w:r w:rsidRPr="003A2249">
              <w:rPr>
                <w:rFonts w:ascii="Arial" w:hAnsi="Arial"/>
                <w:b/>
                <w:sz w:val="18"/>
                <w:lang w:val="en-US"/>
              </w:rPr>
              <w:t>Global Human Settlement population</w:t>
            </w:r>
            <w:r w:rsidRPr="003A2249">
              <w:rPr>
                <w:rFonts w:ascii="Arial" w:hAnsi="Arial"/>
                <w:sz w:val="18"/>
                <w:lang w:val="en-US"/>
              </w:rPr>
              <w:t xml:space="preserve"> (GHS-POP): it uses the GHS-BU layer to make a spatial prediction of population census data: </w:t>
            </w:r>
            <w:hyperlink r:id="rId18" w:history="1">
              <w:r w:rsidRPr="003A2249">
                <w:rPr>
                  <w:rStyle w:val="Hyperlink"/>
                  <w:rFonts w:ascii="Arial" w:hAnsi="Arial"/>
                  <w:sz w:val="18"/>
                  <w:lang w:val="en-US"/>
                </w:rPr>
                <w:t>https://ghsl.jrc.ec.europa.eu/data.php</w:t>
              </w:r>
            </w:hyperlink>
            <w:r w:rsidRPr="003A2249">
              <w:rPr>
                <w:rFonts w:ascii="Arial" w:eastAsiaTheme="minorHAnsi" w:hAnsi="Arial" w:cstheme="minorBidi"/>
                <w:sz w:val="18"/>
                <w:lang w:val="en-US" w:eastAsia="en-US"/>
              </w:rPr>
              <w:t xml:space="preserve"> </w:t>
            </w:r>
          </w:p>
          <w:p w14:paraId="0CA7B313" w14:textId="488FF44B" w:rsidR="006C5583" w:rsidRPr="003A2249" w:rsidRDefault="006C5583" w:rsidP="00AB1129">
            <w:pPr>
              <w:pStyle w:val="ListParagraph"/>
              <w:numPr>
                <w:ilvl w:val="0"/>
                <w:numId w:val="3"/>
              </w:numPr>
              <w:tabs>
                <w:tab w:val="left" w:pos="2126"/>
              </w:tabs>
              <w:spacing w:beforeLines="60" w:before="144" w:afterLines="60" w:after="144" w:line="240" w:lineRule="atLeast"/>
              <w:rPr>
                <w:rFonts w:ascii="Arial" w:hAnsi="Arial"/>
                <w:i/>
                <w:sz w:val="18"/>
                <w:lang w:val="en-US"/>
              </w:rPr>
            </w:pPr>
            <w:proofErr w:type="spellStart"/>
            <w:r w:rsidRPr="003A2249">
              <w:rPr>
                <w:rFonts w:ascii="Arial" w:hAnsi="Arial"/>
                <w:b/>
                <w:sz w:val="18"/>
                <w:lang w:val="en-US"/>
              </w:rPr>
              <w:t>WorldPop</w:t>
            </w:r>
            <w:proofErr w:type="spellEnd"/>
            <w:r w:rsidRPr="003A2249">
              <w:rPr>
                <w:rFonts w:ascii="Arial" w:hAnsi="Arial"/>
                <w:sz w:val="18"/>
                <w:lang w:val="en-US"/>
              </w:rPr>
              <w:t>: open access archive of spatial demographic datasets for Central and South America, Africa and Asia</w:t>
            </w:r>
            <w:r w:rsidR="00A37CFF" w:rsidRPr="003A2249">
              <w:rPr>
                <w:rFonts w:ascii="Arial" w:hAnsi="Arial"/>
                <w:sz w:val="18"/>
                <w:lang w:val="en-US"/>
              </w:rPr>
              <w:t>:</w:t>
            </w:r>
            <w:r w:rsidRPr="003A2249">
              <w:rPr>
                <w:rFonts w:ascii="Arial" w:hAnsi="Arial"/>
                <w:sz w:val="18"/>
                <w:lang w:val="en-US"/>
              </w:rPr>
              <w:t xml:space="preserve"> </w:t>
            </w:r>
            <w:hyperlink r:id="rId19" w:history="1">
              <w:r w:rsidRPr="003A2249">
                <w:rPr>
                  <w:rStyle w:val="Hyperlink"/>
                  <w:rFonts w:ascii="Arial" w:hAnsi="Arial"/>
                  <w:sz w:val="18"/>
                  <w:lang w:val="en-US"/>
                </w:rPr>
                <w:t>http://www.worldpop.org.uk/</w:t>
              </w:r>
            </w:hyperlink>
            <w:r w:rsidRPr="003A2249">
              <w:rPr>
                <w:rFonts w:ascii="Arial" w:eastAsiaTheme="minorHAnsi" w:hAnsi="Arial" w:cstheme="minorBidi"/>
                <w:sz w:val="18"/>
                <w:lang w:val="en-US" w:eastAsia="en-US"/>
              </w:rPr>
              <w:t xml:space="preserve"> </w:t>
            </w:r>
          </w:p>
          <w:p w14:paraId="188D957B" w14:textId="35BEE917" w:rsidR="006C5583" w:rsidRPr="003A2249" w:rsidRDefault="006C5583" w:rsidP="00AB1129">
            <w:pPr>
              <w:pStyle w:val="ListParagraph"/>
              <w:numPr>
                <w:ilvl w:val="0"/>
                <w:numId w:val="3"/>
              </w:numPr>
              <w:tabs>
                <w:tab w:val="left" w:pos="2126"/>
              </w:tabs>
              <w:spacing w:beforeLines="60" w:before="144" w:afterLines="60" w:after="144" w:line="240" w:lineRule="atLeast"/>
              <w:rPr>
                <w:rFonts w:ascii="Arial" w:hAnsi="Arial"/>
                <w:sz w:val="18"/>
                <w:lang w:val="en-US"/>
              </w:rPr>
            </w:pPr>
            <w:r w:rsidRPr="003A2249">
              <w:rPr>
                <w:rFonts w:ascii="Arial" w:hAnsi="Arial"/>
                <w:b/>
                <w:sz w:val="18"/>
                <w:lang w:val="en-US"/>
              </w:rPr>
              <w:t>Gridded Population of the world</w:t>
            </w:r>
            <w:r w:rsidRPr="003A2249">
              <w:rPr>
                <w:rFonts w:ascii="Arial" w:hAnsi="Arial"/>
                <w:sz w:val="18"/>
                <w:lang w:val="en-US"/>
              </w:rPr>
              <w:t>: The Gridded Population of the World (GPW) models the distribution of human population (counts and densities) on a continuous global raster surface (~1 km resolution)</w:t>
            </w:r>
            <w:r w:rsidR="0082124D" w:rsidRPr="003A2249">
              <w:rPr>
                <w:rFonts w:ascii="Arial" w:hAnsi="Arial"/>
                <w:sz w:val="18"/>
                <w:lang w:val="en-US"/>
              </w:rPr>
              <w:t>. GPW is developed and maintained by CIESIN:</w:t>
            </w:r>
            <w:r w:rsidR="00A41957" w:rsidRPr="003A2249">
              <w:rPr>
                <w:rFonts w:ascii="Arial" w:hAnsi="Arial"/>
                <w:sz w:val="18"/>
                <w:lang w:val="en-US"/>
              </w:rPr>
              <w:t xml:space="preserve"> </w:t>
            </w:r>
            <w:hyperlink r:id="rId20" w:history="1">
              <w:r w:rsidR="00A41957" w:rsidRPr="003A2249">
                <w:rPr>
                  <w:rStyle w:val="Hyperlink"/>
                  <w:rFonts w:ascii="Arial" w:hAnsi="Arial"/>
                  <w:sz w:val="18"/>
                  <w:lang w:val="en-US"/>
                </w:rPr>
                <w:t>https://sedac.ciesin.columbia.edu/data/collection/gpw-v4</w:t>
              </w:r>
            </w:hyperlink>
            <w:r w:rsidR="00A41957" w:rsidRPr="003A2249">
              <w:rPr>
                <w:rFonts w:ascii="Arial" w:hAnsi="Arial"/>
                <w:sz w:val="18"/>
                <w:lang w:val="en-US"/>
              </w:rPr>
              <w:t xml:space="preserve"> </w:t>
            </w:r>
          </w:p>
          <w:p w14:paraId="0CDE75FA" w14:textId="7ABD52D9" w:rsidR="006C5583" w:rsidRPr="003A2249" w:rsidRDefault="006C5583" w:rsidP="00FD33D6">
            <w:pPr>
              <w:pStyle w:val="ListParagraph"/>
              <w:numPr>
                <w:ilvl w:val="0"/>
                <w:numId w:val="3"/>
              </w:numPr>
              <w:tabs>
                <w:tab w:val="left" w:pos="2126"/>
              </w:tabs>
              <w:spacing w:beforeLines="60" w:before="144" w:afterLines="60" w:after="144" w:line="240" w:lineRule="atLeast"/>
              <w:rPr>
                <w:rFonts w:ascii="Arial" w:hAnsi="Arial"/>
                <w:sz w:val="18"/>
                <w:lang w:val="en-US"/>
              </w:rPr>
            </w:pPr>
            <w:r w:rsidRPr="003A2249">
              <w:rPr>
                <w:rFonts w:ascii="Arial" w:hAnsi="Arial"/>
                <w:b/>
                <w:sz w:val="18"/>
                <w:lang w:val="en-US"/>
              </w:rPr>
              <w:lastRenderedPageBreak/>
              <w:t>High Resolution Settlement Layer</w:t>
            </w:r>
            <w:r w:rsidR="00D162CA" w:rsidRPr="003A2249">
              <w:rPr>
                <w:rFonts w:ascii="Arial" w:hAnsi="Arial"/>
                <w:b/>
                <w:sz w:val="18"/>
                <w:lang w:val="en-US"/>
              </w:rPr>
              <w:t xml:space="preserve"> (population estimate)</w:t>
            </w:r>
            <w:r w:rsidRPr="003A2249">
              <w:rPr>
                <w:rFonts w:ascii="Arial" w:hAnsi="Arial"/>
                <w:sz w:val="18"/>
                <w:lang w:val="en-US"/>
              </w:rPr>
              <w:t>:  Estimates of human population distribution</w:t>
            </w:r>
            <w:r w:rsidR="00722ECB" w:rsidRPr="003A2249">
              <w:rPr>
                <w:rFonts w:ascii="Arial" w:hAnsi="Arial"/>
                <w:sz w:val="18"/>
                <w:lang w:val="en-US"/>
              </w:rPr>
              <w:t xml:space="preserve"> (number of persons and extent of settlements) </w:t>
            </w:r>
            <w:r w:rsidRPr="003A2249">
              <w:rPr>
                <w:rFonts w:ascii="Arial" w:hAnsi="Arial"/>
                <w:sz w:val="18"/>
                <w:lang w:val="en-US"/>
              </w:rPr>
              <w:t xml:space="preserve">at a resolution of 1 arc-second (approximately 30m) for the year 2015. The population estimates are based on recent census data and </w:t>
            </w:r>
            <w:r w:rsidR="0082124D" w:rsidRPr="003A2249">
              <w:rPr>
                <w:rFonts w:ascii="Arial" w:hAnsi="Arial"/>
                <w:sz w:val="18"/>
                <w:lang w:val="en-US"/>
              </w:rPr>
              <w:t>the high-resolution settlement extent</w:t>
            </w:r>
            <w:r w:rsidRPr="003A2249">
              <w:rPr>
                <w:rFonts w:ascii="Arial" w:hAnsi="Arial"/>
                <w:sz w:val="18"/>
                <w:lang w:val="en-US"/>
              </w:rPr>
              <w:t xml:space="preserve"> developed by the Connectivity Lab at Facebook</w:t>
            </w:r>
            <w:r w:rsidR="0082124D" w:rsidRPr="003A2249">
              <w:rPr>
                <w:rFonts w:ascii="Arial" w:hAnsi="Arial"/>
                <w:sz w:val="18"/>
                <w:lang w:val="en-US"/>
              </w:rPr>
              <w:t xml:space="preserve"> (cf. High Resolution Settlement Layer (built-up area))</w:t>
            </w:r>
            <w:r w:rsidRPr="003A2249">
              <w:rPr>
                <w:rFonts w:ascii="Arial" w:hAnsi="Arial"/>
                <w:sz w:val="18"/>
                <w:lang w:val="en-US"/>
              </w:rPr>
              <w:t xml:space="preserve">. CIESIN used proportional allocation to distribute population data from subnational census data to the settlement extents. The population data have been developed for 33 countries.  </w:t>
            </w:r>
            <w:hyperlink r:id="rId21" w:history="1">
              <w:r w:rsidRPr="003A2249">
                <w:rPr>
                  <w:rStyle w:val="Hyperlink"/>
                  <w:rFonts w:ascii="Arial" w:hAnsi="Arial"/>
                  <w:sz w:val="18"/>
                  <w:lang w:val="en-US"/>
                </w:rPr>
                <w:t>https://www.ciesin.columbia.edu/data/hrsl/</w:t>
              </w:r>
            </w:hyperlink>
            <w:r w:rsidRPr="003A2249">
              <w:rPr>
                <w:rFonts w:ascii="Arial" w:hAnsi="Arial"/>
                <w:sz w:val="18"/>
                <w:lang w:val="en-US"/>
              </w:rPr>
              <w:t xml:space="preserve"> </w:t>
            </w:r>
          </w:p>
          <w:p w14:paraId="36789EAE" w14:textId="77777777" w:rsidR="00CD7F8B" w:rsidRPr="003A2249" w:rsidRDefault="00CD7F8B" w:rsidP="00CD7F8B">
            <w:pPr>
              <w:pStyle w:val="ListParagraph"/>
              <w:tabs>
                <w:tab w:val="left" w:pos="2126"/>
              </w:tabs>
              <w:spacing w:beforeLines="60" w:before="144" w:afterLines="60" w:after="144" w:line="240" w:lineRule="atLeast"/>
              <w:rPr>
                <w:rFonts w:ascii="Arial" w:hAnsi="Arial"/>
                <w:sz w:val="18"/>
                <w:lang w:val="en-US"/>
              </w:rPr>
            </w:pPr>
          </w:p>
          <w:p w14:paraId="0E7A2A3B" w14:textId="286F11F2" w:rsidR="006C5583" w:rsidRPr="003A2249" w:rsidRDefault="006C5583" w:rsidP="00CD7F8B">
            <w:pPr>
              <w:pStyle w:val="ListParagraph"/>
              <w:tabs>
                <w:tab w:val="left" w:pos="2126"/>
              </w:tabs>
              <w:spacing w:beforeLines="60" w:before="144" w:afterLines="60" w:after="144" w:line="240" w:lineRule="atLeast"/>
              <w:ind w:left="360"/>
              <w:rPr>
                <w:rFonts w:ascii="Arial" w:hAnsi="Arial"/>
                <w:sz w:val="18"/>
                <w:lang w:val="en-US"/>
              </w:rPr>
            </w:pPr>
            <w:r w:rsidRPr="003A2249">
              <w:rPr>
                <w:rFonts w:ascii="Arial" w:hAnsi="Arial" w:cs="Arial"/>
                <w:sz w:val="18"/>
                <w:szCs w:val="18"/>
                <w:lang w:val="en-US"/>
              </w:rPr>
              <w:t xml:space="preserve">While the above </w:t>
            </w:r>
            <w:r w:rsidRPr="003A2249">
              <w:rPr>
                <w:rFonts w:ascii="Arial" w:hAnsi="Arial"/>
                <w:sz w:val="18"/>
                <w:lang w:val="en-US"/>
              </w:rPr>
              <w:t>datasets represent important disaggregated (using EO) global</w:t>
            </w:r>
            <w:r w:rsidRPr="003A2249">
              <w:rPr>
                <w:rFonts w:ascii="Arial" w:hAnsi="Arial" w:cs="Arial"/>
                <w:sz w:val="18"/>
                <w:szCs w:val="18"/>
                <w:lang w:val="en-US"/>
              </w:rPr>
              <w:t xml:space="preserve"> population </w:t>
            </w:r>
            <w:r w:rsidRPr="003A2249">
              <w:rPr>
                <w:rFonts w:ascii="Arial" w:hAnsi="Arial"/>
                <w:sz w:val="18"/>
                <w:lang w:val="en-US"/>
              </w:rPr>
              <w:t>datasets</w:t>
            </w:r>
            <w:r w:rsidRPr="003A2249">
              <w:rPr>
                <w:rFonts w:ascii="Arial" w:hAnsi="Arial" w:cs="Arial"/>
                <w:sz w:val="18"/>
                <w:szCs w:val="18"/>
                <w:lang w:val="en-US"/>
              </w:rPr>
              <w:t xml:space="preserve"> then it is worth the mentioning that the UNSD metadata for indicator 11.3.1. also makes reference to UN DESA population data </w:t>
            </w:r>
            <w:hyperlink r:id="rId22" w:history="1">
              <w:r w:rsidRPr="003A2249">
                <w:rPr>
                  <w:rStyle w:val="Hyperlink"/>
                  <w:rFonts w:ascii="Arial" w:hAnsi="Arial" w:cs="Arial"/>
                  <w:sz w:val="18"/>
                  <w:szCs w:val="18"/>
                  <w:lang w:val="en-US"/>
                </w:rPr>
                <w:t>http://www.un.org/en/development/desa/population/publications/database/index.shtml</w:t>
              </w:r>
            </w:hyperlink>
            <w:r w:rsidRPr="003A2249">
              <w:rPr>
                <w:rFonts w:ascii="Arial" w:hAnsi="Arial" w:cs="Arial"/>
                <w:sz w:val="18"/>
                <w:szCs w:val="18"/>
                <w:lang w:val="en-US"/>
              </w:rPr>
              <w:t xml:space="preserve"> as the reference dataset for SDG 11.3.1. It is equally important to mention the fact that census data should be readily </w:t>
            </w:r>
            <w:r w:rsidRPr="003A2249">
              <w:rPr>
                <w:rFonts w:ascii="Arial" w:hAnsi="Arial"/>
                <w:sz w:val="18"/>
                <w:lang w:val="en-US"/>
              </w:rPr>
              <w:t xml:space="preserve">available from National Statistical Offices (NSOs), although the level of disaggregation may vary from country to country. </w:t>
            </w:r>
            <w:r w:rsidR="00672A92" w:rsidRPr="003A2249">
              <w:rPr>
                <w:rFonts w:ascii="Arial" w:hAnsi="Arial"/>
                <w:sz w:val="18"/>
                <w:lang w:val="en-US"/>
              </w:rPr>
              <w:t xml:space="preserve">In this regard it is worth mentioning that </w:t>
            </w:r>
            <w:r w:rsidR="006035FD" w:rsidRPr="003A2249">
              <w:rPr>
                <w:rFonts w:ascii="Arial" w:hAnsi="Arial"/>
                <w:sz w:val="18"/>
                <w:lang w:val="en-US"/>
              </w:rPr>
              <w:t>EO can provide support for disaggregating population data</w:t>
            </w:r>
            <w:r w:rsidR="00A605C2" w:rsidRPr="003A2249">
              <w:rPr>
                <w:rFonts w:ascii="Arial" w:hAnsi="Arial"/>
                <w:sz w:val="18"/>
                <w:lang w:val="en-US"/>
              </w:rPr>
              <w:t>.</w:t>
            </w:r>
          </w:p>
          <w:p w14:paraId="3132B673" w14:textId="0B2BFF95" w:rsidR="0085612C" w:rsidRPr="003A2249" w:rsidRDefault="0085612C" w:rsidP="00FD33D6">
            <w:pPr>
              <w:tabs>
                <w:tab w:val="left" w:pos="2126"/>
              </w:tabs>
              <w:spacing w:beforeLines="60" w:before="144" w:afterLines="60" w:after="144" w:line="240" w:lineRule="atLeast"/>
              <w:rPr>
                <w:rFonts w:ascii="Arial" w:hAnsi="Arial"/>
                <w:i/>
                <w:sz w:val="18"/>
                <w:lang w:val="en-US"/>
              </w:rPr>
            </w:pPr>
            <w:r w:rsidRPr="003A2249">
              <w:rPr>
                <w:rFonts w:ascii="Arial" w:hAnsi="Arial"/>
                <w:b/>
                <w:sz w:val="18"/>
                <w:lang w:val="en-US"/>
              </w:rPr>
              <w:t>Platform and tools</w:t>
            </w:r>
            <w:r w:rsidR="00AD0960" w:rsidRPr="003A2249">
              <w:rPr>
                <w:rFonts w:ascii="Arial" w:hAnsi="Arial"/>
                <w:i/>
                <w:sz w:val="18"/>
                <w:lang w:val="en-US"/>
              </w:rPr>
              <w:t>:</w:t>
            </w:r>
          </w:p>
          <w:p w14:paraId="0D70DCC8" w14:textId="68B2492C" w:rsidR="002F7980" w:rsidRPr="003A2249" w:rsidRDefault="001B11BB" w:rsidP="00AB1129">
            <w:pPr>
              <w:pStyle w:val="ListParagraph"/>
              <w:numPr>
                <w:ilvl w:val="0"/>
                <w:numId w:val="3"/>
              </w:numPr>
              <w:spacing w:beforeLines="60" w:before="144" w:afterLines="60" w:after="144" w:line="240" w:lineRule="atLeast"/>
              <w:rPr>
                <w:rFonts w:ascii="Arial" w:hAnsi="Arial"/>
                <w:sz w:val="18"/>
                <w:lang w:val="en-US"/>
              </w:rPr>
            </w:pPr>
            <w:r w:rsidRPr="003A2249">
              <w:rPr>
                <w:rFonts w:ascii="Arial" w:hAnsi="Arial"/>
                <w:b/>
                <w:sz w:val="18"/>
                <w:lang w:val="en-US"/>
              </w:rPr>
              <w:t>Global Human Settlement Layer (</w:t>
            </w:r>
            <w:r w:rsidR="002F7980" w:rsidRPr="003A2249">
              <w:rPr>
                <w:rFonts w:ascii="Arial" w:hAnsi="Arial"/>
                <w:b/>
                <w:sz w:val="18"/>
                <w:lang w:val="en-US"/>
              </w:rPr>
              <w:t>GHSL</w:t>
            </w:r>
            <w:r w:rsidRPr="003A2249">
              <w:rPr>
                <w:rFonts w:ascii="Arial" w:hAnsi="Arial"/>
                <w:b/>
                <w:sz w:val="18"/>
                <w:lang w:val="en-US"/>
              </w:rPr>
              <w:t>)</w:t>
            </w:r>
            <w:r w:rsidR="00EF2572" w:rsidRPr="003A2249">
              <w:rPr>
                <w:lang w:val="en-US"/>
              </w:rPr>
              <w:t xml:space="preserve"> </w:t>
            </w:r>
            <w:r w:rsidRPr="003A2249">
              <w:rPr>
                <w:rFonts w:ascii="Arial" w:hAnsi="Arial"/>
                <w:sz w:val="18"/>
                <w:lang w:val="en-US"/>
              </w:rPr>
              <w:t>is a</w:t>
            </w:r>
            <w:r w:rsidR="00EF2572" w:rsidRPr="003A2249">
              <w:rPr>
                <w:rFonts w:ascii="Arial" w:hAnsi="Arial"/>
                <w:sz w:val="18"/>
                <w:lang w:val="en-US"/>
              </w:rPr>
              <w:t xml:space="preserve"> framework </w:t>
            </w:r>
            <w:r w:rsidRPr="003A2249">
              <w:rPr>
                <w:rFonts w:ascii="Arial" w:hAnsi="Arial"/>
                <w:sz w:val="18"/>
                <w:lang w:val="en-US"/>
              </w:rPr>
              <w:t>that</w:t>
            </w:r>
            <w:r w:rsidR="00EF2572" w:rsidRPr="003A2249">
              <w:rPr>
                <w:rFonts w:ascii="Arial" w:hAnsi="Arial"/>
                <w:sz w:val="18"/>
                <w:lang w:val="en-US"/>
              </w:rPr>
              <w:t xml:space="preserve"> provide new spatial data mining technologies for the automatic processing, analytics and knowledge extraction from large amount of heterogeneous spatial data</w:t>
            </w:r>
            <w:r w:rsidR="00122835" w:rsidRPr="003A2249">
              <w:rPr>
                <w:rFonts w:ascii="Arial" w:hAnsi="Arial"/>
                <w:sz w:val="18"/>
                <w:lang w:val="en-US"/>
              </w:rPr>
              <w:t xml:space="preserve">. </w:t>
            </w:r>
            <w:r w:rsidR="005F6CF2" w:rsidRPr="003A2249">
              <w:rPr>
                <w:rFonts w:ascii="Arial" w:hAnsi="Arial"/>
                <w:sz w:val="18"/>
                <w:lang w:val="en-US"/>
              </w:rPr>
              <w:t xml:space="preserve">Amongst others these tools provide users with options to </w:t>
            </w:r>
            <w:r w:rsidR="00122835" w:rsidRPr="003A2249">
              <w:rPr>
                <w:rFonts w:ascii="Arial" w:hAnsi="Arial"/>
                <w:sz w:val="18"/>
                <w:lang w:val="en-US"/>
              </w:rPr>
              <w:t xml:space="preserve"> </w:t>
            </w:r>
            <w:r w:rsidR="005F6CF2" w:rsidRPr="003A2249">
              <w:rPr>
                <w:rFonts w:ascii="Arial" w:hAnsi="Arial"/>
                <w:sz w:val="18"/>
                <w:lang w:val="en-US"/>
              </w:rPr>
              <w:t>map built-up areas from remote sensing data as well as estimating the land use efficiency from the GHSL and in support of measuring SDG 11.3.1:</w:t>
            </w:r>
            <w:r w:rsidR="003C3250" w:rsidRPr="003A2249">
              <w:rPr>
                <w:rFonts w:ascii="Arial" w:hAnsi="Arial"/>
                <w:sz w:val="18"/>
                <w:lang w:val="en-US"/>
              </w:rPr>
              <w:t xml:space="preserve"> </w:t>
            </w:r>
            <w:hyperlink r:id="rId23" w:history="1">
              <w:r w:rsidR="003C3250" w:rsidRPr="003A2249">
                <w:rPr>
                  <w:rStyle w:val="Hyperlink"/>
                  <w:rFonts w:ascii="Arial" w:hAnsi="Arial"/>
                  <w:sz w:val="18"/>
                  <w:lang w:val="en-US"/>
                </w:rPr>
                <w:t>https://ghsl.jrc.ec.europa.eu/tools.php</w:t>
              </w:r>
            </w:hyperlink>
            <w:r w:rsidR="003C3250" w:rsidRPr="003A2249">
              <w:rPr>
                <w:rFonts w:ascii="Arial" w:hAnsi="Arial"/>
                <w:sz w:val="18"/>
                <w:lang w:val="en-US"/>
              </w:rPr>
              <w:t xml:space="preserve"> </w:t>
            </w:r>
          </w:p>
          <w:p w14:paraId="2465C2C0" w14:textId="350DF5E2" w:rsidR="000C3472" w:rsidRPr="003A2249" w:rsidRDefault="000C3472" w:rsidP="00AB1129">
            <w:pPr>
              <w:pStyle w:val="ListParagraph"/>
              <w:numPr>
                <w:ilvl w:val="0"/>
                <w:numId w:val="3"/>
              </w:numPr>
              <w:tabs>
                <w:tab w:val="left" w:pos="2126"/>
              </w:tabs>
              <w:spacing w:beforeLines="60" w:before="144" w:afterLines="60" w:after="144" w:line="240" w:lineRule="atLeast"/>
              <w:rPr>
                <w:rFonts w:ascii="Arial" w:hAnsi="Arial"/>
                <w:sz w:val="18"/>
                <w:lang w:val="en-US"/>
              </w:rPr>
            </w:pPr>
            <w:proofErr w:type="spellStart"/>
            <w:r w:rsidRPr="003A2249">
              <w:rPr>
                <w:rFonts w:ascii="Arial" w:hAnsi="Arial"/>
                <w:b/>
                <w:sz w:val="18"/>
                <w:lang w:val="en-US"/>
              </w:rPr>
              <w:t>Trends.Earth</w:t>
            </w:r>
            <w:proofErr w:type="spellEnd"/>
            <w:r w:rsidRPr="003A2249">
              <w:rPr>
                <w:rFonts w:ascii="Arial" w:hAnsi="Arial"/>
                <w:sz w:val="18"/>
                <w:lang w:val="en-US"/>
              </w:rPr>
              <w:t xml:space="preserve"> is an online platform from Conservation International </w:t>
            </w:r>
            <w:r w:rsidR="00D766F6" w:rsidRPr="003A2249">
              <w:rPr>
                <w:rFonts w:ascii="Arial" w:hAnsi="Arial"/>
                <w:sz w:val="18"/>
                <w:lang w:val="en-US"/>
              </w:rPr>
              <w:t xml:space="preserve">(CI) </w:t>
            </w:r>
            <w:r w:rsidR="00A605C2" w:rsidRPr="003A2249">
              <w:rPr>
                <w:rFonts w:ascii="Arial" w:hAnsi="Arial"/>
                <w:sz w:val="18"/>
                <w:lang w:val="en-US"/>
              </w:rPr>
              <w:t>and NASA</w:t>
            </w:r>
            <w:r w:rsidR="00A605C2" w:rsidRPr="003A2249">
              <w:rPr>
                <w:rStyle w:val="CommentReference"/>
                <w:rFonts w:asciiTheme="minorHAnsi" w:eastAsiaTheme="minorHAnsi" w:hAnsiTheme="minorHAnsi"/>
              </w:rPr>
              <w:t xml:space="preserve"> </w:t>
            </w:r>
            <w:r w:rsidRPr="003A2249">
              <w:rPr>
                <w:rFonts w:ascii="Arial" w:hAnsi="Arial"/>
                <w:sz w:val="18"/>
                <w:lang w:val="en-US"/>
              </w:rPr>
              <w:t xml:space="preserve">for monitoring land change using earth observations in an innovative desktop and cloud-based system. Amongst others, </w:t>
            </w:r>
            <w:proofErr w:type="spellStart"/>
            <w:r w:rsidRPr="003A2249">
              <w:rPr>
                <w:rFonts w:ascii="Arial" w:hAnsi="Arial"/>
                <w:sz w:val="18"/>
                <w:lang w:val="en-US"/>
              </w:rPr>
              <w:t>Trends.Earth</w:t>
            </w:r>
            <w:proofErr w:type="spellEnd"/>
            <w:r w:rsidRPr="003A2249">
              <w:rPr>
                <w:rFonts w:ascii="Arial" w:hAnsi="Arial"/>
                <w:sz w:val="18"/>
                <w:lang w:val="en-US"/>
              </w:rPr>
              <w:t xml:space="preserve"> </w:t>
            </w:r>
            <w:r w:rsidR="00A605C2" w:rsidRPr="003A2249">
              <w:rPr>
                <w:rFonts w:ascii="Arial" w:hAnsi="Arial"/>
                <w:sz w:val="18"/>
                <w:lang w:val="en-US"/>
              </w:rPr>
              <w:t xml:space="preserve">Urban Mapper </w:t>
            </w:r>
            <w:r w:rsidRPr="003A2249">
              <w:rPr>
                <w:rFonts w:ascii="Arial" w:hAnsi="Arial"/>
                <w:sz w:val="18"/>
                <w:lang w:val="en-US"/>
              </w:rPr>
              <w:t xml:space="preserve">allow users to produce </w:t>
            </w:r>
            <w:r w:rsidR="00996424" w:rsidRPr="003A2249">
              <w:rPr>
                <w:rFonts w:ascii="Arial" w:hAnsi="Arial"/>
                <w:sz w:val="18"/>
                <w:lang w:val="en-US"/>
              </w:rPr>
              <w:t xml:space="preserve">built-up area </w:t>
            </w:r>
            <w:r w:rsidRPr="003A2249">
              <w:rPr>
                <w:rFonts w:ascii="Arial" w:hAnsi="Arial"/>
                <w:sz w:val="18"/>
                <w:lang w:val="en-US"/>
              </w:rPr>
              <w:t xml:space="preserve">maps at selected time steps using a combination of various </w:t>
            </w:r>
            <w:r w:rsidR="00A0039E" w:rsidRPr="003A2249">
              <w:rPr>
                <w:rFonts w:ascii="Arial" w:hAnsi="Arial"/>
                <w:sz w:val="18"/>
                <w:lang w:val="en-US"/>
              </w:rPr>
              <w:t xml:space="preserve">Landsat imagery </w:t>
            </w:r>
            <w:r w:rsidRPr="003A2249">
              <w:rPr>
                <w:rFonts w:ascii="Arial" w:hAnsi="Arial"/>
                <w:sz w:val="18"/>
                <w:lang w:val="en-US"/>
              </w:rPr>
              <w:t xml:space="preserve">on Google Earth Engine (cf. </w:t>
            </w:r>
            <w:hyperlink r:id="rId24" w:history="1">
              <w:r w:rsidR="00A0039E" w:rsidRPr="003A2249">
                <w:rPr>
                  <w:rStyle w:val="Hyperlink"/>
                  <w:rFonts w:ascii="Arial" w:hAnsi="Arial"/>
                  <w:sz w:val="18"/>
                  <w:lang w:val="en-US"/>
                </w:rPr>
                <w:t>https://geflanddegradation.users.earthengine.app/view/trendsearth-urban-mapper</w:t>
              </w:r>
            </w:hyperlink>
            <w:r w:rsidR="00A0039E" w:rsidRPr="003A2249">
              <w:rPr>
                <w:rFonts w:ascii="Arial" w:hAnsi="Arial"/>
                <w:sz w:val="18"/>
                <w:lang w:val="en-US"/>
              </w:rPr>
              <w:t xml:space="preserve"> </w:t>
            </w:r>
            <w:r w:rsidR="009E3ED7" w:rsidRPr="003A2249">
              <w:rPr>
                <w:rFonts w:ascii="Arial" w:hAnsi="Arial"/>
                <w:sz w:val="18"/>
                <w:lang w:val="en-US"/>
              </w:rPr>
              <w:t xml:space="preserve"> </w:t>
            </w:r>
            <w:r w:rsidR="00A0039E" w:rsidRPr="003A2249">
              <w:rPr>
                <w:rFonts w:ascii="Arial" w:hAnsi="Arial"/>
                <w:sz w:val="18"/>
                <w:lang w:val="en-US"/>
              </w:rPr>
              <w:t xml:space="preserve"> </w:t>
            </w:r>
          </w:p>
          <w:p w14:paraId="12141019" w14:textId="7698BAE3" w:rsidR="002F7980" w:rsidRPr="003A2249" w:rsidRDefault="00331314" w:rsidP="00AB1129">
            <w:pPr>
              <w:pStyle w:val="ListParagraph"/>
              <w:numPr>
                <w:ilvl w:val="0"/>
                <w:numId w:val="3"/>
              </w:numPr>
              <w:tabs>
                <w:tab w:val="left" w:pos="2126"/>
              </w:tabs>
              <w:spacing w:beforeLines="60" w:before="144" w:afterLines="60" w:after="144" w:line="240" w:lineRule="atLeast"/>
              <w:rPr>
                <w:rFonts w:ascii="Arial" w:hAnsi="Arial" w:cs="Arial"/>
                <w:sz w:val="18"/>
                <w:szCs w:val="18"/>
                <w:lang w:val="en-US"/>
              </w:rPr>
            </w:pPr>
            <w:r w:rsidRPr="003A2249">
              <w:rPr>
                <w:rFonts w:ascii="Arial" w:hAnsi="Arial"/>
                <w:sz w:val="18"/>
                <w:lang w:val="en-US"/>
              </w:rPr>
              <w:t>The</w:t>
            </w:r>
            <w:r w:rsidRPr="003A2249">
              <w:rPr>
                <w:rFonts w:ascii="Arial" w:hAnsi="Arial"/>
                <w:b/>
                <w:sz w:val="18"/>
                <w:lang w:val="en-US"/>
              </w:rPr>
              <w:t xml:space="preserve"> Urban Thematic Exploitation Platform </w:t>
            </w:r>
            <w:r w:rsidRPr="003A2249">
              <w:rPr>
                <w:rFonts w:ascii="Arial" w:hAnsi="Arial"/>
                <w:sz w:val="18"/>
                <w:lang w:val="en-US"/>
              </w:rPr>
              <w:t>(</w:t>
            </w:r>
            <w:r w:rsidR="001475C2" w:rsidRPr="003A2249">
              <w:rPr>
                <w:rFonts w:ascii="Arial" w:hAnsi="Arial"/>
                <w:sz w:val="18"/>
                <w:lang w:val="en-US"/>
              </w:rPr>
              <w:t>U-</w:t>
            </w:r>
            <w:r w:rsidRPr="003A2249">
              <w:rPr>
                <w:rFonts w:ascii="Arial" w:hAnsi="Arial"/>
                <w:sz w:val="18"/>
                <w:lang w:val="en-US"/>
              </w:rPr>
              <w:t xml:space="preserve">TEP) </w:t>
            </w:r>
            <w:r w:rsidR="00E70FC8" w:rsidRPr="003A2249">
              <w:rPr>
                <w:rFonts w:ascii="Arial" w:hAnsi="Arial"/>
                <w:sz w:val="18"/>
                <w:lang w:val="en-US"/>
              </w:rPr>
              <w:t>presents a web-based platform that allows users to effectively utilize Earth Observation (EO) imagery and existing auxiliary data (</w:t>
            </w:r>
            <w:r w:rsidR="00E70FC8" w:rsidRPr="003A2249">
              <w:rPr>
                <w:rFonts w:ascii="Arial" w:hAnsi="Arial"/>
                <w:sz w:val="18"/>
                <w:szCs w:val="18"/>
                <w:lang w:val="en-US"/>
              </w:rPr>
              <w:t>e.g., geo-data, statistics) to measure and assess key properties of the urban environment and monitor the past and future spatiotemporal development of settlements</w:t>
            </w:r>
            <w:r w:rsidR="001E3EA8" w:rsidRPr="003A2249">
              <w:rPr>
                <w:rFonts w:ascii="Arial" w:hAnsi="Arial"/>
                <w:sz w:val="18"/>
                <w:szCs w:val="18"/>
                <w:lang w:val="en-US"/>
              </w:rPr>
              <w:t>. In particular it is worth mentioning that U-TEP offers dedicated tool for SDG 11.3.1 monitoring and reporting based on the WSF global datasets</w:t>
            </w:r>
            <w:r w:rsidR="00E70FC8" w:rsidRPr="003A2249">
              <w:rPr>
                <w:rFonts w:ascii="Arial" w:hAnsi="Arial"/>
                <w:sz w:val="18"/>
                <w:szCs w:val="18"/>
                <w:lang w:val="en-US"/>
              </w:rPr>
              <w:t xml:space="preserve">: </w:t>
            </w:r>
            <w:hyperlink r:id="rId25" w:history="1">
              <w:r w:rsidR="00E70FC8" w:rsidRPr="003A2249">
                <w:rPr>
                  <w:rStyle w:val="Hyperlink"/>
                  <w:rFonts w:ascii="Arial" w:hAnsi="Arial" w:cs="Arial"/>
                  <w:sz w:val="18"/>
                  <w:szCs w:val="18"/>
                  <w:lang w:val="en-US"/>
                </w:rPr>
                <w:t>https://urban-tep.eu/puma/tool/</w:t>
              </w:r>
            </w:hyperlink>
          </w:p>
          <w:p w14:paraId="0F7CAA6E" w14:textId="48EB5802" w:rsidR="0085612C" w:rsidRPr="003A2249" w:rsidRDefault="00AB1129" w:rsidP="00FD33D6">
            <w:pPr>
              <w:pStyle w:val="ListParagraph"/>
              <w:numPr>
                <w:ilvl w:val="0"/>
                <w:numId w:val="3"/>
              </w:numPr>
              <w:tabs>
                <w:tab w:val="left" w:pos="2126"/>
              </w:tabs>
              <w:spacing w:beforeLines="60" w:before="144" w:afterLines="60" w:after="144" w:line="240" w:lineRule="atLeast"/>
              <w:rPr>
                <w:rFonts w:ascii="Arial" w:hAnsi="Arial" w:cs="Arial"/>
                <w:sz w:val="18"/>
                <w:szCs w:val="18"/>
                <w:lang w:val="en-US"/>
              </w:rPr>
            </w:pPr>
            <w:r w:rsidRPr="003A2249">
              <w:rPr>
                <w:rFonts w:ascii="Arial" w:hAnsi="Arial"/>
                <w:sz w:val="18"/>
                <w:lang w:val="en-US"/>
              </w:rPr>
              <w:t xml:space="preserve">The </w:t>
            </w:r>
            <w:r w:rsidRPr="003A2249">
              <w:rPr>
                <w:rFonts w:ascii="Arial" w:hAnsi="Arial"/>
                <w:b/>
                <w:sz w:val="18"/>
                <w:lang w:val="en-US"/>
              </w:rPr>
              <w:t>POPGRID</w:t>
            </w:r>
            <w:r w:rsidRPr="003A2249">
              <w:rPr>
                <w:rFonts w:ascii="Arial" w:hAnsi="Arial"/>
                <w:sz w:val="18"/>
                <w:lang w:val="en-US"/>
              </w:rPr>
              <w:t xml:space="preserve"> Data Collaborative aims to bring together and expand the international community of data providers, users, and sponsors concerned with georeferenced data on population, human settlements and infrastructure. Such data can help improve access to public and private services, increase the sustainability of natural resources, and facilitate progress towards meeting the internationally accepted Sustainable Development Goals (SDGs</w:t>
            </w:r>
            <w:r w:rsidRPr="003A2249">
              <w:rPr>
                <w:rFonts w:ascii="Arial" w:hAnsi="Arial" w:cs="Arial"/>
                <w:sz w:val="18"/>
                <w:szCs w:val="18"/>
                <w:lang w:val="en-US"/>
              </w:rPr>
              <w:t xml:space="preserve">): </w:t>
            </w:r>
            <w:hyperlink r:id="rId26" w:history="1">
              <w:r w:rsidRPr="003A2249">
                <w:rPr>
                  <w:rStyle w:val="Hyperlink"/>
                  <w:rFonts w:ascii="Arial" w:hAnsi="Arial" w:cs="Arial"/>
                  <w:sz w:val="18"/>
                  <w:szCs w:val="18"/>
                  <w:lang w:val="en-US"/>
                </w:rPr>
                <w:t>https://www.popgrid.org/home</w:t>
              </w:r>
            </w:hyperlink>
          </w:p>
        </w:tc>
      </w:tr>
      <w:tr w:rsidR="00073C53" w:rsidRPr="003A2249" w14:paraId="60D41310" w14:textId="77777777" w:rsidTr="001B3A40">
        <w:tc>
          <w:tcPr>
            <w:tcW w:w="1653" w:type="dxa"/>
          </w:tcPr>
          <w:p w14:paraId="513A28B1" w14:textId="138F01C1" w:rsidR="00073C53" w:rsidRPr="003A2249" w:rsidRDefault="00073C53" w:rsidP="00FD33D6">
            <w:pPr>
              <w:tabs>
                <w:tab w:val="left" w:pos="2126"/>
              </w:tabs>
              <w:spacing w:beforeLines="60" w:before="144" w:afterLines="60" w:after="144" w:line="240" w:lineRule="atLeast"/>
              <w:rPr>
                <w:rFonts w:ascii="Arial" w:hAnsi="Arial"/>
                <w:color w:val="005A8C"/>
                <w:sz w:val="18"/>
                <w:lang w:val="en-US"/>
              </w:rPr>
            </w:pPr>
            <w:r w:rsidRPr="003A2249">
              <w:rPr>
                <w:rFonts w:ascii="Arial" w:hAnsi="Arial"/>
                <w:color w:val="005A8C"/>
                <w:sz w:val="18"/>
                <w:lang w:val="en-US"/>
              </w:rPr>
              <w:lastRenderedPageBreak/>
              <w:t>International Initiatives</w:t>
            </w:r>
          </w:p>
        </w:tc>
        <w:tc>
          <w:tcPr>
            <w:tcW w:w="8004" w:type="dxa"/>
            <w:gridSpan w:val="3"/>
          </w:tcPr>
          <w:p w14:paraId="3E4130E7" w14:textId="3DE18BD4" w:rsidR="00E81DE5" w:rsidRPr="003A2249" w:rsidRDefault="00073C53" w:rsidP="00E81DE5">
            <w:pPr>
              <w:tabs>
                <w:tab w:val="left" w:pos="2126"/>
              </w:tabs>
              <w:spacing w:beforeLines="60" w:before="144" w:afterLines="60" w:after="144" w:line="240" w:lineRule="atLeast"/>
              <w:rPr>
                <w:rFonts w:ascii="Arial" w:hAnsi="Arial"/>
                <w:sz w:val="18"/>
                <w:lang w:val="en-US"/>
              </w:rPr>
            </w:pPr>
            <w:r w:rsidRPr="003A2249">
              <w:rPr>
                <w:rFonts w:ascii="Arial" w:hAnsi="Arial"/>
                <w:b/>
                <w:sz w:val="18"/>
                <w:lang w:val="en-US"/>
              </w:rPr>
              <w:t>GEO Human Planet Initiative (HPI)</w:t>
            </w:r>
            <w:r w:rsidRPr="003A2249">
              <w:rPr>
                <w:rFonts w:ascii="Arial" w:hAnsi="Arial"/>
                <w:sz w:val="18"/>
                <w:lang w:val="en-US"/>
              </w:rPr>
              <w:t xml:space="preserve"> </w:t>
            </w:r>
            <w:r w:rsidR="00E81DE5" w:rsidRPr="003A2249">
              <w:rPr>
                <w:rFonts w:ascii="Arial" w:hAnsi="Arial"/>
                <w:sz w:val="18"/>
                <w:lang w:val="en-US"/>
              </w:rPr>
              <w:t xml:space="preserve">is committed to developing a new generation of measurements and information products that provide novel evidence-based assessment of the human presence on the planet Earth. The Human Planet leverages on advances of Earth Observation technologies and geo-spatial data analytics for improving the global awareness on the spatial patterns and processes of the today’s urbanizing world. The GHI core partners include Joint Research Center (JRC), Global Human Settlement Layer project (GHSL), the University of Southampton </w:t>
            </w:r>
            <w:proofErr w:type="spellStart"/>
            <w:r w:rsidR="00E81DE5" w:rsidRPr="003A2249">
              <w:rPr>
                <w:rFonts w:ascii="Arial" w:hAnsi="Arial"/>
                <w:sz w:val="18"/>
                <w:lang w:val="en-US"/>
              </w:rPr>
              <w:t>WorldPop</w:t>
            </w:r>
            <w:proofErr w:type="spellEnd"/>
            <w:r w:rsidR="00E81DE5" w:rsidRPr="003A2249">
              <w:rPr>
                <w:rFonts w:ascii="Arial" w:hAnsi="Arial"/>
                <w:sz w:val="18"/>
                <w:lang w:val="en-US"/>
              </w:rPr>
              <w:t xml:space="preserve"> project, and the Columbia University, Center for International Earth Science Information Network (CIESIN) but all together more than 150 individual scientists and policy makers belonging to 85 different organizations are involved: </w:t>
            </w:r>
            <w:hyperlink r:id="rId27" w:history="1">
              <w:r w:rsidR="00E81DE5" w:rsidRPr="003A2249">
                <w:rPr>
                  <w:rStyle w:val="Hyperlink"/>
                  <w:rFonts w:ascii="Arial" w:hAnsi="Arial"/>
                  <w:sz w:val="18"/>
                  <w:lang w:val="en-US"/>
                </w:rPr>
                <w:t>https://www.earthobservations.org/activity.php?id=119</w:t>
              </w:r>
            </w:hyperlink>
            <w:r w:rsidR="00E81DE5" w:rsidRPr="003A2249">
              <w:rPr>
                <w:rFonts w:ascii="Arial" w:hAnsi="Arial"/>
                <w:sz w:val="18"/>
                <w:lang w:val="en-US"/>
              </w:rPr>
              <w:t xml:space="preserve"> </w:t>
            </w:r>
          </w:p>
          <w:p w14:paraId="3F37F58E" w14:textId="3511DB5E" w:rsidR="00FE2D85" w:rsidRPr="003A2249" w:rsidRDefault="00073C53" w:rsidP="00FE2D85">
            <w:pPr>
              <w:tabs>
                <w:tab w:val="left" w:pos="2126"/>
              </w:tabs>
              <w:spacing w:beforeLines="60" w:before="144" w:afterLines="60" w:after="144" w:line="240" w:lineRule="atLeast"/>
              <w:rPr>
                <w:rFonts w:ascii="Arial" w:hAnsi="Arial"/>
                <w:sz w:val="18"/>
                <w:lang w:val="en-US"/>
              </w:rPr>
            </w:pPr>
            <w:r w:rsidRPr="003A2249">
              <w:rPr>
                <w:rFonts w:ascii="Arial" w:hAnsi="Arial"/>
                <w:b/>
                <w:sz w:val="18"/>
                <w:lang w:val="en-US"/>
              </w:rPr>
              <w:lastRenderedPageBreak/>
              <w:t>GEO Global Urban Observation and Information (GUOI)</w:t>
            </w:r>
            <w:r w:rsidR="00E81DE5" w:rsidRPr="003A2249">
              <w:rPr>
                <w:rFonts w:ascii="Arial" w:hAnsi="Arial"/>
                <w:sz w:val="18"/>
                <w:lang w:val="en-US"/>
              </w:rPr>
              <w:t xml:space="preserve"> intends to improve urban monitoring and assessment through international cooperation and collaboration, to provide datasets, information, technologies to pertinent urban users (World Bank, UN, and planning and environmental management agencies, especially in developing countries), and to support UN SDG Goal 11: Make cities inclusive, safe, resilient and sustainable.</w:t>
            </w:r>
            <w:r w:rsidR="00FE2D85" w:rsidRPr="003A2249">
              <w:rPr>
                <w:rFonts w:ascii="Arial" w:hAnsi="Arial"/>
                <w:sz w:val="18"/>
                <w:lang w:val="en-US"/>
              </w:rPr>
              <w:t xml:space="preserve"> This Initiative will generate various data products of global urban areas using Earth Observation (EO) data, provide EO-based urban data services through various systems and tools, develop new models and algorithms to detect, assess, monitor, and model urban areas and environments, create new knowledge to fill the gaps in the integration of EO and other datasets for a better understanding of cities and develop essential urban variables and indicators for sustainable cities:</w:t>
            </w:r>
            <w:r w:rsidR="00FE2D85" w:rsidRPr="003A2249">
              <w:rPr>
                <w:rFonts w:ascii="Arial" w:hAnsi="Arial"/>
                <w:sz w:val="18"/>
                <w:lang w:val="en-US"/>
              </w:rPr>
              <w:br/>
            </w:r>
            <w:hyperlink r:id="rId28" w:history="1">
              <w:r w:rsidR="00FE2D85" w:rsidRPr="003A2249">
                <w:rPr>
                  <w:rStyle w:val="Hyperlink"/>
                  <w:rFonts w:ascii="Arial" w:hAnsi="Arial"/>
                  <w:sz w:val="18"/>
                  <w:lang w:val="en-US"/>
                </w:rPr>
                <w:t>https://www.earthobservations.org/activity.php?id=125</w:t>
              </w:r>
            </w:hyperlink>
            <w:r w:rsidR="00FE2D85" w:rsidRPr="003A2249">
              <w:rPr>
                <w:rFonts w:ascii="Arial" w:hAnsi="Arial"/>
                <w:sz w:val="18"/>
                <w:lang w:val="en-US"/>
              </w:rPr>
              <w:t xml:space="preserve"> </w:t>
            </w:r>
          </w:p>
        </w:tc>
      </w:tr>
      <w:tr w:rsidR="00E30EED" w:rsidRPr="003A2249" w14:paraId="65851156" w14:textId="77777777" w:rsidTr="003305CC">
        <w:tc>
          <w:tcPr>
            <w:tcW w:w="9657" w:type="dxa"/>
            <w:gridSpan w:val="4"/>
            <w:shd w:val="clear" w:color="auto" w:fill="D9D9D9"/>
          </w:tcPr>
          <w:p w14:paraId="507CF9B9" w14:textId="77777777" w:rsidR="00E30EED" w:rsidRPr="003A2249" w:rsidRDefault="00E30EED" w:rsidP="00FD33D6">
            <w:pPr>
              <w:tabs>
                <w:tab w:val="left" w:pos="2126"/>
              </w:tabs>
              <w:spacing w:beforeLines="60" w:before="144" w:afterLines="60" w:after="144" w:line="240" w:lineRule="atLeast"/>
              <w:rPr>
                <w:rFonts w:ascii="Arial" w:hAnsi="Arial"/>
                <w:b/>
                <w:i/>
                <w:color w:val="005A8C"/>
                <w:sz w:val="18"/>
                <w:lang w:val="en-US"/>
              </w:rPr>
            </w:pPr>
            <w:r w:rsidRPr="003A2249">
              <w:rPr>
                <w:rFonts w:ascii="Arial" w:hAnsi="Arial"/>
                <w:b/>
                <w:color w:val="005A8C"/>
                <w:sz w:val="18"/>
                <w:lang w:val="en-US"/>
              </w:rPr>
              <w:lastRenderedPageBreak/>
              <w:t>Proposed Methodology</w:t>
            </w:r>
          </w:p>
        </w:tc>
      </w:tr>
      <w:tr w:rsidR="00E30EED" w:rsidRPr="003A2249" w14:paraId="0AEA9CFB" w14:textId="77777777" w:rsidTr="001B3A40">
        <w:tc>
          <w:tcPr>
            <w:tcW w:w="1653" w:type="dxa"/>
          </w:tcPr>
          <w:p w14:paraId="3CF6F5FF" w14:textId="77777777" w:rsidR="00E30EED" w:rsidRPr="003A2249" w:rsidRDefault="00E30EED" w:rsidP="00FD33D6">
            <w:pPr>
              <w:tabs>
                <w:tab w:val="left" w:pos="2126"/>
              </w:tabs>
              <w:spacing w:beforeLines="60" w:before="144" w:afterLines="60" w:after="144" w:line="240" w:lineRule="atLeast"/>
              <w:rPr>
                <w:rFonts w:ascii="Arial" w:hAnsi="Arial"/>
                <w:color w:val="005A8C"/>
                <w:sz w:val="18"/>
                <w:lang w:val="en-US"/>
              </w:rPr>
            </w:pPr>
            <w:r w:rsidRPr="003A2249">
              <w:rPr>
                <w:rFonts w:ascii="Arial" w:hAnsi="Arial"/>
                <w:color w:val="005A8C"/>
                <w:sz w:val="18"/>
                <w:lang w:val="en-US"/>
              </w:rPr>
              <w:t>Step-by-Step guide for EO integration into SDG indicator framework</w:t>
            </w:r>
          </w:p>
        </w:tc>
        <w:tc>
          <w:tcPr>
            <w:tcW w:w="8004" w:type="dxa"/>
            <w:gridSpan w:val="3"/>
          </w:tcPr>
          <w:p w14:paraId="7F31CD45" w14:textId="3A92F25B" w:rsidR="00DD20A7" w:rsidRPr="003A2249" w:rsidRDefault="00DD20A7" w:rsidP="00FD33D6">
            <w:p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 xml:space="preserve">The </w:t>
            </w:r>
            <w:r w:rsidR="00C51579" w:rsidRPr="003A2249">
              <w:rPr>
                <w:rFonts w:ascii="Arial" w:hAnsi="Arial" w:cs="Arial"/>
                <w:sz w:val="18"/>
                <w:szCs w:val="18"/>
                <w:lang w:val="en-US"/>
              </w:rPr>
              <w:t>Metadata on SDGs Indicator 11.3.1</w:t>
            </w:r>
            <w:r w:rsidR="0092332D" w:rsidRPr="003A2249">
              <w:rPr>
                <w:rFonts w:ascii="Arial" w:hAnsi="Arial" w:cs="Arial"/>
                <w:sz w:val="18"/>
                <w:szCs w:val="18"/>
                <w:lang w:val="en-US"/>
              </w:rPr>
              <w:t xml:space="preserve"> (</w:t>
            </w:r>
            <w:r w:rsidR="000665C2" w:rsidRPr="003A2249">
              <w:rPr>
                <w:rFonts w:ascii="Arial" w:hAnsi="Arial" w:cs="Arial"/>
                <w:sz w:val="18"/>
                <w:szCs w:val="18"/>
                <w:lang w:val="en-US"/>
              </w:rPr>
              <w:t xml:space="preserve">version: </w:t>
            </w:r>
            <w:r w:rsidR="0092332D" w:rsidRPr="003A2249">
              <w:rPr>
                <w:rFonts w:ascii="Arial" w:hAnsi="Arial" w:cs="Arial"/>
                <w:sz w:val="18"/>
                <w:szCs w:val="18"/>
                <w:lang w:val="en-US"/>
              </w:rPr>
              <w:t>March 2018)</w:t>
            </w:r>
            <w:r w:rsidRPr="003A2249">
              <w:rPr>
                <w:rFonts w:ascii="Arial" w:hAnsi="Arial" w:cs="Arial"/>
                <w:sz w:val="18"/>
                <w:szCs w:val="18"/>
                <w:lang w:val="en-US"/>
              </w:rPr>
              <w:t xml:space="preserve"> outlines </w:t>
            </w:r>
            <w:r w:rsidR="00E83FE9" w:rsidRPr="003A2249">
              <w:rPr>
                <w:rFonts w:ascii="Arial" w:hAnsi="Arial" w:cs="Arial"/>
                <w:sz w:val="18"/>
                <w:szCs w:val="18"/>
                <w:lang w:val="en-US"/>
              </w:rPr>
              <w:t xml:space="preserve">in detail </w:t>
            </w:r>
            <w:r w:rsidRPr="003A2249">
              <w:rPr>
                <w:rFonts w:ascii="Arial" w:hAnsi="Arial" w:cs="Arial"/>
                <w:sz w:val="18"/>
                <w:szCs w:val="18"/>
                <w:lang w:val="en-US"/>
              </w:rPr>
              <w:t xml:space="preserve">the current </w:t>
            </w:r>
            <w:r w:rsidR="00E82D8A" w:rsidRPr="003A2249">
              <w:rPr>
                <w:rFonts w:ascii="Arial" w:hAnsi="Arial" w:cs="Arial"/>
                <w:sz w:val="18"/>
                <w:szCs w:val="18"/>
                <w:lang w:val="en-US"/>
              </w:rPr>
              <w:t xml:space="preserve">method of </w:t>
            </w:r>
            <w:r w:rsidR="00A3444A" w:rsidRPr="003A2249">
              <w:rPr>
                <w:rFonts w:ascii="Arial" w:hAnsi="Arial" w:cs="Arial"/>
                <w:sz w:val="18"/>
                <w:szCs w:val="18"/>
                <w:lang w:val="en-US"/>
              </w:rPr>
              <w:t>c</w:t>
            </w:r>
            <w:r w:rsidR="00E82D8A" w:rsidRPr="003A2249">
              <w:rPr>
                <w:rFonts w:ascii="Arial" w:hAnsi="Arial" w:cs="Arial"/>
                <w:sz w:val="18"/>
                <w:szCs w:val="18"/>
                <w:lang w:val="en-US"/>
              </w:rPr>
              <w:t>omputation</w:t>
            </w:r>
            <w:r w:rsidR="00D14A5F" w:rsidRPr="003A2249">
              <w:rPr>
                <w:rFonts w:ascii="Arial" w:hAnsi="Arial" w:cs="Arial"/>
                <w:sz w:val="18"/>
                <w:szCs w:val="18"/>
                <w:lang w:val="en-US"/>
              </w:rPr>
              <w:t xml:space="preserve"> including a section on </w:t>
            </w:r>
            <w:r w:rsidR="00370F8C" w:rsidRPr="003A2249">
              <w:rPr>
                <w:rFonts w:ascii="Arial" w:hAnsi="Arial" w:cs="Arial"/>
                <w:sz w:val="18"/>
                <w:szCs w:val="18"/>
                <w:lang w:val="en-US"/>
              </w:rPr>
              <w:t xml:space="preserve">data </w:t>
            </w:r>
            <w:r w:rsidR="00D14A5F" w:rsidRPr="003A2249">
              <w:rPr>
                <w:rFonts w:ascii="Arial" w:hAnsi="Arial" w:cs="Arial"/>
                <w:sz w:val="18"/>
                <w:szCs w:val="18"/>
                <w:lang w:val="en-US"/>
              </w:rPr>
              <w:t xml:space="preserve">sources </w:t>
            </w:r>
            <w:r w:rsidR="00370F8C" w:rsidRPr="003A2249">
              <w:rPr>
                <w:rFonts w:ascii="Arial" w:hAnsi="Arial" w:cs="Arial"/>
                <w:sz w:val="18"/>
                <w:szCs w:val="18"/>
                <w:lang w:val="en-US"/>
              </w:rPr>
              <w:t xml:space="preserve">and collection. The latter explicitly </w:t>
            </w:r>
            <w:r w:rsidR="00E50EE0" w:rsidRPr="003A2249">
              <w:rPr>
                <w:rFonts w:ascii="Arial" w:hAnsi="Arial" w:cs="Arial"/>
                <w:sz w:val="18"/>
                <w:szCs w:val="18"/>
                <w:lang w:val="en-US"/>
              </w:rPr>
              <w:t>referring</w:t>
            </w:r>
            <w:r w:rsidR="00C15A4D" w:rsidRPr="003A2249">
              <w:rPr>
                <w:rFonts w:ascii="Arial" w:hAnsi="Arial" w:cs="Arial"/>
                <w:sz w:val="18"/>
                <w:szCs w:val="18"/>
                <w:lang w:val="en-US"/>
              </w:rPr>
              <w:t xml:space="preserve"> </w:t>
            </w:r>
            <w:r w:rsidR="00E50EE0" w:rsidRPr="003A2249">
              <w:rPr>
                <w:rFonts w:ascii="Arial" w:hAnsi="Arial" w:cs="Arial"/>
                <w:sz w:val="18"/>
                <w:szCs w:val="18"/>
                <w:lang w:val="en-US"/>
              </w:rPr>
              <w:t xml:space="preserve">satellite data </w:t>
            </w:r>
            <w:r w:rsidR="00370F8C" w:rsidRPr="003A2249">
              <w:rPr>
                <w:rFonts w:ascii="Arial" w:hAnsi="Arial" w:cs="Arial"/>
                <w:sz w:val="18"/>
                <w:szCs w:val="18"/>
                <w:lang w:val="en-US"/>
              </w:rPr>
              <w:t xml:space="preserve">as </w:t>
            </w:r>
            <w:r w:rsidR="00E50EE0" w:rsidRPr="003A2249">
              <w:rPr>
                <w:rFonts w:ascii="Arial" w:hAnsi="Arial" w:cs="Arial"/>
                <w:sz w:val="18"/>
                <w:szCs w:val="18"/>
                <w:lang w:val="en-US"/>
              </w:rPr>
              <w:t xml:space="preserve">a key information source to be </w:t>
            </w:r>
            <w:r w:rsidRPr="003A2249">
              <w:rPr>
                <w:rFonts w:ascii="Arial" w:hAnsi="Arial" w:cs="Arial"/>
                <w:sz w:val="18"/>
                <w:szCs w:val="18"/>
                <w:lang w:val="en-US"/>
              </w:rPr>
              <w:t>incorporated into the reporting framework</w:t>
            </w:r>
            <w:r w:rsidR="00370F8C" w:rsidRPr="003A2249">
              <w:rPr>
                <w:rFonts w:ascii="Arial" w:hAnsi="Arial" w:cs="Arial"/>
                <w:sz w:val="18"/>
                <w:szCs w:val="18"/>
                <w:lang w:val="en-US"/>
              </w:rPr>
              <w:t xml:space="preserve">: </w:t>
            </w:r>
            <w:hyperlink r:id="rId29" w:history="1">
              <w:r w:rsidR="00370F8C" w:rsidRPr="003A2249">
                <w:rPr>
                  <w:rStyle w:val="Hyperlink"/>
                  <w:rFonts w:ascii="Arial" w:hAnsi="Arial" w:cs="Arial"/>
                  <w:sz w:val="18"/>
                  <w:lang w:val="en-US"/>
                </w:rPr>
                <w:t>https://unhabitat.org/wp-content/uploads/2019/04/Metadata-on-SDG-Indicator-11.3.1.pdf</w:t>
              </w:r>
            </w:hyperlink>
            <w:r w:rsidR="00370F8C" w:rsidRPr="003A2249">
              <w:rPr>
                <w:rFonts w:ascii="Arial" w:hAnsi="Arial" w:cs="Arial"/>
                <w:sz w:val="18"/>
                <w:szCs w:val="18"/>
                <w:lang w:val="en-US"/>
              </w:rPr>
              <w:t xml:space="preserve"> </w:t>
            </w:r>
            <w:r w:rsidRPr="003A2249">
              <w:rPr>
                <w:rFonts w:ascii="Arial" w:hAnsi="Arial" w:cs="Arial"/>
                <w:sz w:val="18"/>
                <w:szCs w:val="18"/>
                <w:lang w:val="en-US"/>
              </w:rPr>
              <w:t xml:space="preserve"> </w:t>
            </w:r>
          </w:p>
          <w:p w14:paraId="441B6B69" w14:textId="4F581D98" w:rsidR="00E30EED" w:rsidRPr="003A2249" w:rsidRDefault="00551064" w:rsidP="00FD33D6">
            <w:p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The</w:t>
            </w:r>
            <w:r w:rsidR="00CC2B7C" w:rsidRPr="003A2249">
              <w:rPr>
                <w:lang w:val="en-US"/>
              </w:rPr>
              <w:t xml:space="preserve"> </w:t>
            </w:r>
            <w:r w:rsidR="00CC2B7C" w:rsidRPr="003A2249">
              <w:rPr>
                <w:rFonts w:ascii="Arial" w:hAnsi="Arial" w:cs="Arial"/>
                <w:sz w:val="18"/>
                <w:szCs w:val="18"/>
                <w:lang w:val="en-US"/>
              </w:rPr>
              <w:t xml:space="preserve">Monitoring and Reporting </w:t>
            </w:r>
            <w:r w:rsidRPr="003A2249">
              <w:rPr>
                <w:rFonts w:ascii="Arial" w:hAnsi="Arial" w:cs="Arial"/>
                <w:sz w:val="18"/>
                <w:szCs w:val="18"/>
                <w:lang w:val="en-US"/>
              </w:rPr>
              <w:t>guideline for Land consumption (</w:t>
            </w:r>
            <w:r w:rsidR="001629DB" w:rsidRPr="003A2249">
              <w:rPr>
                <w:rFonts w:ascii="Arial" w:hAnsi="Arial" w:cs="Arial"/>
                <w:sz w:val="18"/>
                <w:szCs w:val="18"/>
                <w:lang w:val="en-US"/>
              </w:rPr>
              <w:t>Jan 2019</w:t>
            </w:r>
            <w:r w:rsidRPr="003A2249">
              <w:rPr>
                <w:rFonts w:ascii="Arial" w:hAnsi="Arial" w:cs="Arial"/>
                <w:sz w:val="18"/>
                <w:szCs w:val="18"/>
                <w:lang w:val="en-US"/>
              </w:rPr>
              <w:t>) provides</w:t>
            </w:r>
            <w:r w:rsidR="00BC436A" w:rsidRPr="003A2249">
              <w:rPr>
                <w:rFonts w:ascii="Arial" w:hAnsi="Arial" w:cs="Arial"/>
                <w:sz w:val="18"/>
                <w:szCs w:val="18"/>
                <w:lang w:val="en-US"/>
              </w:rPr>
              <w:t xml:space="preserve"> </w:t>
            </w:r>
            <w:r w:rsidR="00847DB3" w:rsidRPr="003A2249">
              <w:rPr>
                <w:rFonts w:ascii="Arial" w:hAnsi="Arial" w:cs="Arial"/>
                <w:sz w:val="18"/>
                <w:szCs w:val="18"/>
                <w:lang w:val="en-US"/>
              </w:rPr>
              <w:t xml:space="preserve">a step by step </w:t>
            </w:r>
            <w:r w:rsidR="00934230" w:rsidRPr="003A2249">
              <w:rPr>
                <w:rFonts w:ascii="Arial" w:hAnsi="Arial" w:cs="Arial"/>
                <w:sz w:val="18"/>
                <w:szCs w:val="18"/>
                <w:lang w:val="en-US"/>
              </w:rPr>
              <w:t>introductory to th</w:t>
            </w:r>
            <w:r w:rsidR="0076136E" w:rsidRPr="003A2249">
              <w:rPr>
                <w:rFonts w:ascii="Arial" w:hAnsi="Arial" w:cs="Arial"/>
                <w:sz w:val="18"/>
                <w:szCs w:val="18"/>
                <w:lang w:val="en-US"/>
              </w:rPr>
              <w:t>e estimation of indicator 13.</w:t>
            </w:r>
            <w:r w:rsidR="00CD5175" w:rsidRPr="003A2249">
              <w:rPr>
                <w:rFonts w:ascii="Arial" w:hAnsi="Arial" w:cs="Arial"/>
                <w:sz w:val="18"/>
                <w:szCs w:val="18"/>
                <w:lang w:val="en-US"/>
              </w:rPr>
              <w:t xml:space="preserve">3.1 including </w:t>
            </w:r>
            <w:r w:rsidR="008B2114" w:rsidRPr="003A2249">
              <w:rPr>
                <w:rFonts w:ascii="Arial" w:hAnsi="Arial" w:cs="Arial"/>
                <w:sz w:val="18"/>
                <w:szCs w:val="18"/>
                <w:lang w:val="en-US"/>
              </w:rPr>
              <w:t xml:space="preserve">an </w:t>
            </w:r>
            <w:r w:rsidR="00CD5175" w:rsidRPr="003A2249">
              <w:rPr>
                <w:rFonts w:ascii="Arial" w:hAnsi="Arial" w:cs="Arial"/>
                <w:sz w:val="18"/>
                <w:szCs w:val="18"/>
                <w:lang w:val="en-US"/>
              </w:rPr>
              <w:t xml:space="preserve">example </w:t>
            </w:r>
            <w:r w:rsidR="003862F7" w:rsidRPr="003A2249">
              <w:rPr>
                <w:rFonts w:ascii="Arial" w:hAnsi="Arial" w:cs="Arial"/>
                <w:sz w:val="18"/>
                <w:szCs w:val="18"/>
                <w:lang w:val="en-US"/>
              </w:rPr>
              <w:t xml:space="preserve">of </w:t>
            </w:r>
            <w:r w:rsidR="008B2114" w:rsidRPr="003A2249">
              <w:rPr>
                <w:rFonts w:ascii="Arial" w:hAnsi="Arial" w:cs="Arial"/>
                <w:sz w:val="18"/>
                <w:szCs w:val="18"/>
                <w:lang w:val="en-US"/>
              </w:rPr>
              <w:t xml:space="preserve">using visual </w:t>
            </w:r>
            <w:r w:rsidR="00964B52" w:rsidRPr="003A2249">
              <w:rPr>
                <w:rFonts w:ascii="Arial" w:hAnsi="Arial" w:cs="Arial"/>
                <w:sz w:val="18"/>
                <w:szCs w:val="18"/>
                <w:lang w:val="en-US"/>
              </w:rPr>
              <w:t>interpretation</w:t>
            </w:r>
            <w:r w:rsidR="008B2114" w:rsidRPr="003A2249">
              <w:rPr>
                <w:rFonts w:ascii="Arial" w:hAnsi="Arial" w:cs="Arial"/>
                <w:sz w:val="18"/>
                <w:szCs w:val="18"/>
                <w:lang w:val="en-US"/>
              </w:rPr>
              <w:t xml:space="preserve"> of </w:t>
            </w:r>
            <w:r w:rsidR="003862F7" w:rsidRPr="003A2249">
              <w:rPr>
                <w:rFonts w:ascii="Arial" w:hAnsi="Arial" w:cs="Arial"/>
                <w:sz w:val="18"/>
                <w:szCs w:val="18"/>
                <w:lang w:val="en-US"/>
              </w:rPr>
              <w:t>satellite imagery to measure urban change</w:t>
            </w:r>
            <w:r w:rsidR="003F5581" w:rsidRPr="003A2249">
              <w:rPr>
                <w:rFonts w:ascii="Arial" w:hAnsi="Arial" w:cs="Arial"/>
                <w:sz w:val="18"/>
                <w:szCs w:val="18"/>
                <w:lang w:val="en-US"/>
              </w:rPr>
              <w:t>, and how to use geospatial analytics to estimate the urban extent from the built</w:t>
            </w:r>
            <w:r w:rsidR="002F281F" w:rsidRPr="003A2249">
              <w:rPr>
                <w:rFonts w:ascii="Arial" w:hAnsi="Arial" w:cs="Arial"/>
                <w:sz w:val="18"/>
                <w:szCs w:val="18"/>
                <w:lang w:val="en-US"/>
              </w:rPr>
              <w:t>-up area</w:t>
            </w:r>
            <w:r w:rsidR="003F5581" w:rsidRPr="003A2249">
              <w:rPr>
                <w:rFonts w:ascii="Arial" w:hAnsi="Arial" w:cs="Arial"/>
                <w:sz w:val="18"/>
                <w:szCs w:val="18"/>
                <w:lang w:val="en-US"/>
              </w:rPr>
              <w:t xml:space="preserve"> </w:t>
            </w:r>
            <w:r w:rsidR="008B2114" w:rsidRPr="003A2249">
              <w:rPr>
                <w:rFonts w:ascii="Arial" w:hAnsi="Arial" w:cs="Arial"/>
                <w:sz w:val="18"/>
                <w:szCs w:val="18"/>
                <w:lang w:val="en-US"/>
              </w:rPr>
              <w:t xml:space="preserve">: </w:t>
            </w:r>
            <w:hyperlink r:id="rId30" w:history="1">
              <w:r w:rsidR="00536522" w:rsidRPr="003A2249">
                <w:rPr>
                  <w:rStyle w:val="Hyperlink"/>
                  <w:rFonts w:ascii="Arial" w:hAnsi="Arial" w:cs="Arial"/>
                  <w:sz w:val="18"/>
                  <w:szCs w:val="18"/>
                  <w:lang w:val="en-US"/>
                </w:rPr>
                <w:t>https://unhabitat.org/wp-content/uploads/2019/02/Indicator-11.3.1-Training-Module_Land-Consumption_Jan-2019.pdf</w:t>
              </w:r>
            </w:hyperlink>
            <w:r w:rsidR="00536522" w:rsidRPr="003A2249">
              <w:rPr>
                <w:rFonts w:ascii="Arial" w:hAnsi="Arial" w:cs="Arial"/>
                <w:sz w:val="18"/>
                <w:szCs w:val="18"/>
                <w:lang w:val="en-US"/>
              </w:rPr>
              <w:t xml:space="preserve"> </w:t>
            </w:r>
          </w:p>
          <w:p w14:paraId="0BAE107D" w14:textId="4DA6C82D" w:rsidR="00E67FB2" w:rsidRPr="003A2249" w:rsidRDefault="00D6151D" w:rsidP="00FD33D6">
            <w:pPr>
              <w:tabs>
                <w:tab w:val="left" w:pos="2126"/>
              </w:tabs>
              <w:spacing w:beforeLines="60" w:before="144" w:afterLines="60" w:after="144" w:line="240" w:lineRule="atLeast"/>
              <w:rPr>
                <w:rFonts w:ascii="Arial" w:eastAsiaTheme="minorHAnsi" w:hAnsi="Arial" w:cs="Arial"/>
                <w:sz w:val="18"/>
                <w:szCs w:val="18"/>
                <w:lang w:val="en-US" w:eastAsia="en-US"/>
              </w:rPr>
            </w:pPr>
            <w:r w:rsidRPr="003A2249">
              <w:rPr>
                <w:rFonts w:ascii="Arial" w:hAnsi="Arial" w:cs="Arial"/>
                <w:sz w:val="18"/>
                <w:szCs w:val="18"/>
                <w:lang w:val="en-US"/>
              </w:rPr>
              <w:t xml:space="preserve">While the Metadata and reporting guidelines is quite explicit about the integration of </w:t>
            </w:r>
            <w:r w:rsidR="00317FA1" w:rsidRPr="003A2249">
              <w:rPr>
                <w:rFonts w:ascii="Arial" w:hAnsi="Arial" w:cs="Arial"/>
                <w:sz w:val="18"/>
                <w:szCs w:val="18"/>
                <w:lang w:val="en-US"/>
              </w:rPr>
              <w:t xml:space="preserve">EO </w:t>
            </w:r>
            <w:r w:rsidRPr="003A2249">
              <w:rPr>
                <w:rFonts w:ascii="Arial" w:hAnsi="Arial" w:cs="Arial"/>
                <w:sz w:val="18"/>
                <w:szCs w:val="18"/>
                <w:lang w:val="en-US"/>
              </w:rPr>
              <w:t xml:space="preserve">into the indicator computation they are less elaborate about the </w:t>
            </w:r>
            <w:r w:rsidR="00BC0829" w:rsidRPr="003A2249">
              <w:rPr>
                <w:rFonts w:ascii="Arial" w:hAnsi="Arial" w:cs="Arial"/>
                <w:sz w:val="18"/>
                <w:szCs w:val="18"/>
                <w:lang w:val="en-US"/>
              </w:rPr>
              <w:t xml:space="preserve">decision </w:t>
            </w:r>
            <w:r w:rsidR="00041B88" w:rsidRPr="003A2249">
              <w:rPr>
                <w:rFonts w:ascii="Arial" w:hAnsi="Arial" w:cs="Arial"/>
                <w:sz w:val="18"/>
                <w:szCs w:val="18"/>
                <w:lang w:val="en-US"/>
              </w:rPr>
              <w:t xml:space="preserve">and implementation </w:t>
            </w:r>
            <w:r w:rsidR="00BC0829" w:rsidRPr="003A2249">
              <w:rPr>
                <w:rFonts w:ascii="Arial" w:hAnsi="Arial" w:cs="Arial"/>
                <w:sz w:val="18"/>
                <w:szCs w:val="18"/>
                <w:lang w:val="en-US"/>
              </w:rPr>
              <w:t xml:space="preserve">process </w:t>
            </w:r>
            <w:r w:rsidR="005D1BDC" w:rsidRPr="003A2249">
              <w:rPr>
                <w:rFonts w:ascii="Arial" w:hAnsi="Arial" w:cs="Arial"/>
                <w:sz w:val="18"/>
                <w:szCs w:val="18"/>
                <w:lang w:val="en-US"/>
              </w:rPr>
              <w:t xml:space="preserve">that </w:t>
            </w:r>
            <w:r w:rsidR="00041B88" w:rsidRPr="003A2249">
              <w:rPr>
                <w:rFonts w:ascii="Arial" w:hAnsi="Arial" w:cs="Arial"/>
                <w:sz w:val="18"/>
                <w:szCs w:val="18"/>
                <w:lang w:val="en-US"/>
              </w:rPr>
              <w:t xml:space="preserve">is an integral part of applying Earth Observation data and products. </w:t>
            </w:r>
            <w:r w:rsidR="00BA0D64" w:rsidRPr="003A2249">
              <w:rPr>
                <w:rFonts w:ascii="Arial" w:hAnsi="Arial" w:cs="Arial"/>
                <w:sz w:val="18"/>
                <w:szCs w:val="18"/>
                <w:lang w:val="en-US"/>
              </w:rPr>
              <w:t xml:space="preserve">Some of the key </w:t>
            </w:r>
            <w:r w:rsidR="002F0A8D" w:rsidRPr="003A2249">
              <w:rPr>
                <w:rFonts w:ascii="Arial" w:hAnsi="Arial" w:cs="Arial"/>
                <w:sz w:val="18"/>
                <w:szCs w:val="18"/>
                <w:lang w:val="en-US"/>
              </w:rPr>
              <w:t xml:space="preserve">question that needs to be </w:t>
            </w:r>
            <w:r w:rsidR="00BA0D64" w:rsidRPr="003A2249">
              <w:rPr>
                <w:rFonts w:ascii="Arial" w:hAnsi="Arial" w:cs="Arial"/>
                <w:sz w:val="18"/>
                <w:szCs w:val="18"/>
                <w:lang w:val="en-US"/>
              </w:rPr>
              <w:t>consider</w:t>
            </w:r>
            <w:r w:rsidR="00247FCF" w:rsidRPr="003A2249">
              <w:rPr>
                <w:rFonts w:ascii="Arial" w:hAnsi="Arial" w:cs="Arial"/>
                <w:sz w:val="18"/>
                <w:szCs w:val="18"/>
                <w:lang w:val="en-US"/>
              </w:rPr>
              <w:t>ed before</w:t>
            </w:r>
            <w:r w:rsidR="002E7D78" w:rsidRPr="003A2249">
              <w:rPr>
                <w:rFonts w:ascii="Arial" w:hAnsi="Arial" w:cs="Arial"/>
                <w:sz w:val="18"/>
                <w:szCs w:val="18"/>
                <w:lang w:val="en-US"/>
              </w:rPr>
              <w:t xml:space="preserve"> </w:t>
            </w:r>
            <w:r w:rsidR="00247FCF" w:rsidRPr="003A2249">
              <w:rPr>
                <w:rFonts w:ascii="Arial" w:hAnsi="Arial" w:cs="Arial"/>
                <w:sz w:val="18"/>
                <w:szCs w:val="18"/>
                <w:lang w:val="en-US"/>
              </w:rPr>
              <w:t>integrating EO into the indicator reporting are:</w:t>
            </w:r>
            <w:r w:rsidR="00BA0D64" w:rsidRPr="003A2249">
              <w:rPr>
                <w:rFonts w:ascii="Arial" w:hAnsi="Arial" w:cs="Arial"/>
                <w:sz w:val="18"/>
                <w:szCs w:val="18"/>
                <w:lang w:val="en-US"/>
              </w:rPr>
              <w:t xml:space="preserve"> </w:t>
            </w:r>
            <w:r w:rsidR="00E67FB2" w:rsidRPr="003A2249">
              <w:rPr>
                <w:rFonts w:ascii="Arial" w:hAnsi="Arial" w:cs="Arial"/>
                <w:sz w:val="18"/>
                <w:szCs w:val="18"/>
                <w:lang w:val="en-US"/>
              </w:rPr>
              <w:t xml:space="preserve">Does the freely available products meet requirements in terms of spatial resolution, frequency, continuity, period of interest and accuracy? Is in-house capability available and adequate? Is training needed? </w:t>
            </w:r>
            <w:r w:rsidR="00E67FB2" w:rsidRPr="003A2249">
              <w:rPr>
                <w:rFonts w:ascii="Arial" w:eastAsiaTheme="minorHAnsi" w:hAnsi="Arial" w:cs="Arial"/>
                <w:sz w:val="18"/>
                <w:szCs w:val="18"/>
                <w:lang w:val="en-US" w:eastAsia="en-US"/>
              </w:rPr>
              <w:t>Are local and international resources required?</w:t>
            </w:r>
          </w:p>
          <w:p w14:paraId="7F08762A" w14:textId="4BD46326" w:rsidR="003A03D4" w:rsidRPr="003A2249" w:rsidRDefault="003D1380" w:rsidP="00FD33D6">
            <w:pPr>
              <w:tabs>
                <w:tab w:val="left" w:pos="2126"/>
              </w:tabs>
              <w:spacing w:beforeLines="60" w:before="144" w:afterLines="60" w:after="144" w:line="240" w:lineRule="atLeast"/>
              <w:rPr>
                <w:rFonts w:ascii="Arial" w:eastAsiaTheme="minorHAnsi" w:hAnsi="Arial" w:cs="Arial"/>
                <w:sz w:val="18"/>
                <w:szCs w:val="18"/>
                <w:lang w:val="en-US" w:eastAsia="en-US"/>
              </w:rPr>
            </w:pPr>
            <w:r w:rsidRPr="003A2249">
              <w:rPr>
                <w:rFonts w:ascii="Arial" w:eastAsiaTheme="minorHAnsi" w:hAnsi="Arial" w:cs="Arial"/>
                <w:sz w:val="18"/>
                <w:szCs w:val="18"/>
                <w:lang w:val="en-US" w:eastAsia="en-US"/>
              </w:rPr>
              <w:t>The</w:t>
            </w:r>
            <w:r w:rsidR="00E148E5" w:rsidRPr="003A2249">
              <w:rPr>
                <w:rFonts w:ascii="Arial" w:eastAsiaTheme="minorHAnsi" w:hAnsi="Arial" w:cs="Arial"/>
                <w:sz w:val="18"/>
                <w:szCs w:val="18"/>
                <w:lang w:val="en-US" w:eastAsia="en-US"/>
              </w:rPr>
              <w:t xml:space="preserve"> relevance of these</w:t>
            </w:r>
            <w:r w:rsidRPr="003A2249">
              <w:rPr>
                <w:rFonts w:ascii="Arial" w:eastAsiaTheme="minorHAnsi" w:hAnsi="Arial" w:cs="Arial"/>
                <w:sz w:val="18"/>
                <w:szCs w:val="18"/>
                <w:lang w:val="en-US" w:eastAsia="en-US"/>
              </w:rPr>
              <w:t xml:space="preserve"> </w:t>
            </w:r>
            <w:r w:rsidR="00E148E5" w:rsidRPr="003A2249">
              <w:rPr>
                <w:rFonts w:ascii="Arial" w:eastAsiaTheme="minorHAnsi" w:hAnsi="Arial" w:cs="Arial"/>
                <w:sz w:val="18"/>
                <w:szCs w:val="18"/>
                <w:lang w:val="en-US" w:eastAsia="en-US"/>
              </w:rPr>
              <w:t xml:space="preserve">questions </w:t>
            </w:r>
            <w:r w:rsidR="008847DD" w:rsidRPr="003A2249">
              <w:rPr>
                <w:rFonts w:ascii="Arial" w:eastAsiaTheme="minorHAnsi" w:hAnsi="Arial" w:cs="Arial"/>
                <w:sz w:val="18"/>
                <w:szCs w:val="18"/>
                <w:lang w:val="en-US" w:eastAsia="en-US"/>
              </w:rPr>
              <w:t>is</w:t>
            </w:r>
            <w:r w:rsidR="00E148E5" w:rsidRPr="003A2249">
              <w:rPr>
                <w:rFonts w:ascii="Arial" w:eastAsiaTheme="minorHAnsi" w:hAnsi="Arial" w:cs="Arial"/>
                <w:sz w:val="18"/>
                <w:szCs w:val="18"/>
                <w:lang w:val="en-US" w:eastAsia="en-US"/>
              </w:rPr>
              <w:t xml:space="preserve"> exemplified below in </w:t>
            </w:r>
            <w:r w:rsidR="0081191D" w:rsidRPr="003A2249">
              <w:rPr>
                <w:rFonts w:ascii="Arial" w:eastAsiaTheme="minorHAnsi" w:hAnsi="Arial" w:cs="Arial"/>
                <w:sz w:val="18"/>
                <w:szCs w:val="18"/>
                <w:lang w:val="en-US" w:eastAsia="en-US"/>
              </w:rPr>
              <w:t xml:space="preserve">the outline of the basic steps that needs to be followed </w:t>
            </w:r>
            <w:r w:rsidR="008847DD" w:rsidRPr="003A2249">
              <w:rPr>
                <w:rFonts w:ascii="Arial" w:eastAsiaTheme="minorHAnsi" w:hAnsi="Arial" w:cs="Arial"/>
                <w:sz w:val="18"/>
                <w:szCs w:val="18"/>
                <w:lang w:val="en-US" w:eastAsia="en-US"/>
              </w:rPr>
              <w:t xml:space="preserve">by users who wish to </w:t>
            </w:r>
            <w:r w:rsidR="00126605" w:rsidRPr="003A2249">
              <w:rPr>
                <w:rFonts w:ascii="Arial" w:eastAsiaTheme="minorHAnsi" w:hAnsi="Arial" w:cs="Arial"/>
                <w:sz w:val="18"/>
                <w:szCs w:val="18"/>
                <w:lang w:val="en-US" w:eastAsia="en-US"/>
              </w:rPr>
              <w:t xml:space="preserve">integrate </w:t>
            </w:r>
            <w:r w:rsidR="008847DD" w:rsidRPr="003A2249">
              <w:rPr>
                <w:rFonts w:ascii="Arial" w:eastAsiaTheme="minorHAnsi" w:hAnsi="Arial" w:cs="Arial"/>
                <w:sz w:val="18"/>
                <w:szCs w:val="18"/>
                <w:lang w:val="en-US" w:eastAsia="en-US"/>
              </w:rPr>
              <w:t xml:space="preserve">EO for </w:t>
            </w:r>
            <w:r w:rsidR="00126605" w:rsidRPr="003A2249">
              <w:rPr>
                <w:rFonts w:ascii="Arial" w:eastAsiaTheme="minorHAnsi" w:hAnsi="Arial" w:cs="Arial"/>
                <w:sz w:val="18"/>
                <w:szCs w:val="18"/>
                <w:lang w:val="en-US" w:eastAsia="en-US"/>
              </w:rPr>
              <w:t>estimation of indicator 11.3.1.</w:t>
            </w:r>
          </w:p>
          <w:p w14:paraId="48687112" w14:textId="77777777" w:rsidR="00510FA8" w:rsidRPr="003A2249" w:rsidRDefault="00510FA8" w:rsidP="00FD33D6">
            <w:pPr>
              <w:tabs>
                <w:tab w:val="left" w:pos="2126"/>
              </w:tabs>
              <w:spacing w:beforeLines="60" w:before="144" w:afterLines="60" w:after="144" w:line="240" w:lineRule="atLeast"/>
              <w:rPr>
                <w:rFonts w:ascii="Arial" w:hAnsi="Arial" w:cs="Arial"/>
                <w:b/>
                <w:sz w:val="18"/>
                <w:szCs w:val="18"/>
                <w:lang w:val="en-US"/>
              </w:rPr>
            </w:pPr>
            <w:r w:rsidRPr="003A2249">
              <w:rPr>
                <w:rFonts w:ascii="Arial" w:hAnsi="Arial" w:cs="Arial"/>
                <w:b/>
                <w:sz w:val="18"/>
                <w:szCs w:val="18"/>
                <w:lang w:val="en-US"/>
              </w:rPr>
              <w:t>STEP 1: Get data</w:t>
            </w:r>
          </w:p>
          <w:p w14:paraId="662A2366" w14:textId="6BE0A31D" w:rsidR="00E67FB2" w:rsidRPr="003A2249" w:rsidRDefault="00DD38E5" w:rsidP="00FD33D6">
            <w:p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As a first step u</w:t>
            </w:r>
            <w:r w:rsidR="0061475D" w:rsidRPr="003A2249">
              <w:rPr>
                <w:rFonts w:ascii="Arial" w:hAnsi="Arial" w:cs="Arial"/>
                <w:sz w:val="18"/>
                <w:szCs w:val="18"/>
                <w:lang w:val="en-US"/>
              </w:rPr>
              <w:t xml:space="preserve">sers need to verify whether the public domain datasets are representative of the reporting </w:t>
            </w:r>
            <w:r w:rsidRPr="003A2249">
              <w:rPr>
                <w:rFonts w:ascii="Arial" w:hAnsi="Arial" w:cs="Arial"/>
                <w:sz w:val="18"/>
                <w:szCs w:val="18"/>
                <w:lang w:val="en-US"/>
              </w:rPr>
              <w:t>period as</w:t>
            </w:r>
            <w:r w:rsidR="0061475D" w:rsidRPr="003A2249">
              <w:rPr>
                <w:rFonts w:ascii="Arial" w:hAnsi="Arial" w:cs="Arial"/>
                <w:sz w:val="18"/>
                <w:szCs w:val="18"/>
                <w:lang w:val="en-US"/>
              </w:rPr>
              <w:t xml:space="preserve"> well as consider </w:t>
            </w:r>
            <w:r w:rsidR="00EA22B9" w:rsidRPr="003A2249">
              <w:rPr>
                <w:rFonts w:ascii="Arial" w:hAnsi="Arial" w:cs="Arial"/>
                <w:sz w:val="18"/>
                <w:szCs w:val="18"/>
                <w:lang w:val="en-US"/>
              </w:rPr>
              <w:t xml:space="preserve">the need and </w:t>
            </w:r>
            <w:r w:rsidR="0061475D" w:rsidRPr="003A2249">
              <w:rPr>
                <w:rFonts w:ascii="Arial" w:hAnsi="Arial" w:cs="Arial"/>
                <w:sz w:val="18"/>
                <w:szCs w:val="18"/>
                <w:lang w:val="en-US"/>
              </w:rPr>
              <w:t>availability of more precise datasets</w:t>
            </w:r>
            <w:r w:rsidR="00EA22B9" w:rsidRPr="003A2249">
              <w:rPr>
                <w:rFonts w:ascii="Arial" w:hAnsi="Arial" w:cs="Arial"/>
                <w:sz w:val="18"/>
                <w:szCs w:val="18"/>
                <w:lang w:val="en-US"/>
              </w:rPr>
              <w:t>.</w:t>
            </w:r>
            <w:r w:rsidR="00510FA8" w:rsidRPr="003A2249">
              <w:rPr>
                <w:rFonts w:ascii="Arial" w:hAnsi="Arial" w:cs="Arial"/>
                <w:sz w:val="18"/>
                <w:szCs w:val="18"/>
                <w:lang w:val="en-US"/>
              </w:rPr>
              <w:t xml:space="preserve"> </w:t>
            </w:r>
            <w:r w:rsidR="00820ED6" w:rsidRPr="003A2249">
              <w:rPr>
                <w:rFonts w:ascii="Arial" w:hAnsi="Arial" w:cs="Arial"/>
                <w:sz w:val="18"/>
                <w:szCs w:val="18"/>
                <w:lang w:val="en-US"/>
              </w:rPr>
              <w:t xml:space="preserve">If the public domain datasets </w:t>
            </w:r>
            <w:r w:rsidR="002005F5" w:rsidRPr="003A2249">
              <w:rPr>
                <w:rFonts w:ascii="Arial" w:hAnsi="Arial" w:cs="Arial"/>
                <w:sz w:val="18"/>
                <w:szCs w:val="18"/>
                <w:lang w:val="en-US"/>
              </w:rPr>
              <w:t>are</w:t>
            </w:r>
            <w:r w:rsidR="00820ED6" w:rsidRPr="003A2249">
              <w:rPr>
                <w:rFonts w:ascii="Arial" w:hAnsi="Arial" w:cs="Arial"/>
                <w:sz w:val="18"/>
                <w:szCs w:val="18"/>
                <w:lang w:val="en-US"/>
              </w:rPr>
              <w:t xml:space="preserve"> considered inadequate users have </w:t>
            </w:r>
            <w:r w:rsidR="0078388E" w:rsidRPr="003A2249">
              <w:rPr>
                <w:rFonts w:ascii="Arial" w:hAnsi="Arial" w:cs="Arial"/>
                <w:sz w:val="18"/>
                <w:szCs w:val="18"/>
                <w:lang w:val="en-US"/>
              </w:rPr>
              <w:t xml:space="preserve">the option to acquire new EO imagery and census data to generate updated information on urban extent and population density. Typically, census data will be obtained through the NSO while users who wish to acquire new EO imagery to generate updated information on urban extent </w:t>
            </w:r>
            <w:r w:rsidR="00AD7F40" w:rsidRPr="003A2249">
              <w:rPr>
                <w:rFonts w:ascii="Arial" w:hAnsi="Arial" w:cs="Arial"/>
                <w:sz w:val="18"/>
                <w:szCs w:val="18"/>
                <w:lang w:val="en-US"/>
              </w:rPr>
              <w:t xml:space="preserve">can chose between </w:t>
            </w:r>
            <w:r w:rsidR="007E2547" w:rsidRPr="003A2249">
              <w:rPr>
                <w:rFonts w:ascii="Arial" w:hAnsi="Arial" w:cs="Arial"/>
                <w:sz w:val="18"/>
                <w:szCs w:val="18"/>
                <w:lang w:val="en-US"/>
              </w:rPr>
              <w:t xml:space="preserve">openly available </w:t>
            </w:r>
            <w:r w:rsidR="003F12C3" w:rsidRPr="003A2249">
              <w:rPr>
                <w:rFonts w:ascii="Arial" w:hAnsi="Arial" w:cs="Arial"/>
                <w:sz w:val="18"/>
                <w:szCs w:val="18"/>
                <w:lang w:val="en-US"/>
              </w:rPr>
              <w:t xml:space="preserve">imagery (e.g. Sentinel and Landsat) and </w:t>
            </w:r>
            <w:r w:rsidR="00AD7F40" w:rsidRPr="003A2249">
              <w:rPr>
                <w:rFonts w:ascii="Arial" w:hAnsi="Arial" w:cs="Arial"/>
                <w:sz w:val="18"/>
                <w:szCs w:val="18"/>
                <w:lang w:val="en-US"/>
              </w:rPr>
              <w:t xml:space="preserve">commercial </w:t>
            </w:r>
            <w:r w:rsidR="003F12C3" w:rsidRPr="003A2249">
              <w:rPr>
                <w:rFonts w:ascii="Arial" w:hAnsi="Arial" w:cs="Arial"/>
                <w:sz w:val="18"/>
                <w:szCs w:val="18"/>
                <w:lang w:val="en-US"/>
              </w:rPr>
              <w:t>high-resolution</w:t>
            </w:r>
            <w:r w:rsidR="00AD7F40" w:rsidRPr="003A2249">
              <w:rPr>
                <w:rFonts w:ascii="Arial" w:hAnsi="Arial" w:cs="Arial"/>
                <w:sz w:val="18"/>
                <w:szCs w:val="18"/>
                <w:lang w:val="en-US"/>
              </w:rPr>
              <w:t xml:space="preserve"> </w:t>
            </w:r>
            <w:r w:rsidR="00FA7F22" w:rsidRPr="003A2249">
              <w:rPr>
                <w:rFonts w:ascii="Arial" w:hAnsi="Arial" w:cs="Arial"/>
                <w:sz w:val="18"/>
                <w:szCs w:val="18"/>
                <w:lang w:val="en-US"/>
              </w:rPr>
              <w:t>imagery</w:t>
            </w:r>
            <w:r w:rsidR="003F12C3" w:rsidRPr="003A2249">
              <w:rPr>
                <w:rFonts w:ascii="Arial" w:hAnsi="Arial" w:cs="Arial"/>
                <w:sz w:val="18"/>
                <w:szCs w:val="18"/>
                <w:lang w:val="en-US"/>
              </w:rPr>
              <w:t xml:space="preserve"> – or a combination of both.</w:t>
            </w:r>
            <w:r w:rsidR="00C27790" w:rsidRPr="003A2249">
              <w:rPr>
                <w:rFonts w:ascii="Arial" w:hAnsi="Arial" w:cs="Arial"/>
                <w:sz w:val="18"/>
                <w:szCs w:val="18"/>
                <w:lang w:val="en-US"/>
              </w:rPr>
              <w:t xml:space="preserve"> </w:t>
            </w:r>
          </w:p>
          <w:p w14:paraId="6A9C1D18" w14:textId="36AB916F" w:rsidR="00444AAE" w:rsidRPr="003A2249" w:rsidRDefault="00444AAE" w:rsidP="00FD33D6">
            <w:pPr>
              <w:tabs>
                <w:tab w:val="left" w:pos="2126"/>
              </w:tabs>
              <w:spacing w:beforeLines="60" w:before="144" w:afterLines="60" w:after="144" w:line="240" w:lineRule="atLeast"/>
              <w:rPr>
                <w:rFonts w:ascii="Arial" w:hAnsi="Arial" w:cs="Arial"/>
                <w:b/>
                <w:sz w:val="18"/>
                <w:szCs w:val="18"/>
                <w:lang w:val="en-US"/>
              </w:rPr>
            </w:pPr>
            <w:r w:rsidRPr="003A2249">
              <w:rPr>
                <w:rFonts w:ascii="Arial" w:hAnsi="Arial" w:cs="Arial"/>
                <w:b/>
                <w:sz w:val="18"/>
                <w:szCs w:val="18"/>
                <w:lang w:val="en-US"/>
              </w:rPr>
              <w:t>STEP 2: Process data</w:t>
            </w:r>
          </w:p>
          <w:p w14:paraId="3E420682" w14:textId="56A5CD5C" w:rsidR="004A1D92" w:rsidRPr="003A2249" w:rsidRDefault="00317FA1" w:rsidP="00FD33D6">
            <w:p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 xml:space="preserve">Although </w:t>
            </w:r>
            <w:r w:rsidR="001E3EA8" w:rsidRPr="003A2249">
              <w:rPr>
                <w:rFonts w:ascii="Arial" w:hAnsi="Arial" w:cs="Arial"/>
                <w:sz w:val="18"/>
                <w:szCs w:val="18"/>
                <w:lang w:val="en-US"/>
              </w:rPr>
              <w:t xml:space="preserve">built-up and/or impervious surface mapping </w:t>
            </w:r>
            <w:r w:rsidRPr="003A2249">
              <w:rPr>
                <w:rFonts w:ascii="Arial" w:hAnsi="Arial" w:cs="Arial"/>
                <w:sz w:val="18"/>
                <w:szCs w:val="18"/>
                <w:lang w:val="en-US"/>
              </w:rPr>
              <w:t>is an established field within Earth Observation applications then no standardized classification approach has been developed and approaches tend to vary according to the sensors used and the objectives and scale of study. In most cases, however, the acquired input data is subject to standard pre-processing routines for orthorectification, atmospheric correction and, if relevant, topographic normalization. The mapping itself is typically done using</w:t>
            </w:r>
            <w:r w:rsidR="009E7E80" w:rsidRPr="003A2249">
              <w:rPr>
                <w:rFonts w:ascii="Arial" w:hAnsi="Arial" w:cs="Arial"/>
                <w:sz w:val="18"/>
                <w:szCs w:val="18"/>
                <w:lang w:val="en-US"/>
              </w:rPr>
              <w:t xml:space="preserve"> either pixel or</w:t>
            </w:r>
            <w:r w:rsidRPr="003A2249">
              <w:rPr>
                <w:rFonts w:ascii="Arial" w:hAnsi="Arial" w:cs="Arial"/>
                <w:sz w:val="18"/>
                <w:szCs w:val="18"/>
                <w:lang w:val="en-US"/>
              </w:rPr>
              <w:t xml:space="preserve"> object-based image classification based on multi-sensor EO data (e.g. Sentinel-1 and -2) and using spectral, textural and/or contextual features to </w:t>
            </w:r>
            <w:r w:rsidRPr="003A2249">
              <w:rPr>
                <w:rFonts w:ascii="Arial" w:hAnsi="Arial" w:cs="Arial"/>
                <w:sz w:val="18"/>
                <w:szCs w:val="18"/>
                <w:lang w:val="en-US"/>
              </w:rPr>
              <w:lastRenderedPageBreak/>
              <w:t xml:space="preserve">classify the </w:t>
            </w:r>
            <w:r w:rsidR="001E3EA8" w:rsidRPr="003A2249">
              <w:rPr>
                <w:rFonts w:ascii="Arial" w:hAnsi="Arial" w:cs="Arial"/>
                <w:sz w:val="18"/>
                <w:szCs w:val="18"/>
                <w:lang w:val="en-US"/>
              </w:rPr>
              <w:t>extent of the built-up and non-built up impervious areas</w:t>
            </w:r>
            <w:r w:rsidRPr="003A2249">
              <w:rPr>
                <w:rFonts w:ascii="Arial" w:hAnsi="Arial" w:cs="Arial"/>
                <w:sz w:val="18"/>
                <w:szCs w:val="18"/>
                <w:lang w:val="en-US"/>
              </w:rPr>
              <w:t xml:space="preserve">.  It is recommended that outputs are subject to manual post-processing for refinement and quality control. </w:t>
            </w:r>
          </w:p>
          <w:p w14:paraId="229C4257" w14:textId="274DE264" w:rsidR="00D34CB6" w:rsidRPr="003A2249" w:rsidRDefault="005F6CF2" w:rsidP="00FD33D6">
            <w:p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 xml:space="preserve">Additional </w:t>
            </w:r>
            <w:r w:rsidR="00D34CB6" w:rsidRPr="003A2249">
              <w:rPr>
                <w:rFonts w:ascii="Arial" w:hAnsi="Arial" w:cs="Arial"/>
                <w:sz w:val="18"/>
                <w:szCs w:val="18"/>
                <w:lang w:val="en-US"/>
              </w:rPr>
              <w:t xml:space="preserve">processing is also needed </w:t>
            </w:r>
            <w:r w:rsidR="00A17F8D" w:rsidRPr="003A2249">
              <w:rPr>
                <w:rFonts w:ascii="Arial" w:hAnsi="Arial" w:cs="Arial"/>
                <w:sz w:val="18"/>
                <w:szCs w:val="18"/>
                <w:lang w:val="en-US"/>
              </w:rPr>
              <w:t>to</w:t>
            </w:r>
            <w:r w:rsidR="00D34CB6" w:rsidRPr="003A2249">
              <w:rPr>
                <w:rFonts w:ascii="Arial" w:hAnsi="Arial" w:cs="Arial"/>
                <w:sz w:val="18"/>
                <w:szCs w:val="18"/>
                <w:lang w:val="en-US"/>
              </w:rPr>
              <w:t xml:space="preserve"> </w:t>
            </w:r>
            <w:r w:rsidR="00C15117" w:rsidRPr="003A2249">
              <w:rPr>
                <w:rFonts w:ascii="Arial" w:hAnsi="Arial" w:cs="Arial"/>
                <w:sz w:val="18"/>
                <w:szCs w:val="18"/>
                <w:lang w:val="en-US"/>
              </w:rPr>
              <w:t xml:space="preserve">convert the </w:t>
            </w:r>
            <w:r w:rsidR="001E3EA8" w:rsidRPr="003A2249">
              <w:rPr>
                <w:rFonts w:ascii="Arial" w:hAnsi="Arial" w:cs="Arial"/>
                <w:sz w:val="18"/>
                <w:szCs w:val="18"/>
                <w:lang w:val="en-US"/>
              </w:rPr>
              <w:t xml:space="preserve">built-up area </w:t>
            </w:r>
            <w:r w:rsidR="00C15117" w:rsidRPr="003A2249">
              <w:rPr>
                <w:rFonts w:ascii="Arial" w:hAnsi="Arial" w:cs="Arial"/>
                <w:sz w:val="18"/>
                <w:szCs w:val="18"/>
                <w:lang w:val="en-US"/>
              </w:rPr>
              <w:t>into a map of the urban extent which apart from the built-up area also include</w:t>
            </w:r>
            <w:r w:rsidR="00097576" w:rsidRPr="003A2249">
              <w:rPr>
                <w:rFonts w:ascii="Arial" w:hAnsi="Arial" w:cs="Arial"/>
                <w:sz w:val="18"/>
                <w:szCs w:val="18"/>
                <w:lang w:val="en-US"/>
              </w:rPr>
              <w:t>s the</w:t>
            </w:r>
            <w:r w:rsidR="00C15117" w:rsidRPr="003A2249">
              <w:rPr>
                <w:rFonts w:ascii="Arial" w:hAnsi="Arial" w:cs="Arial"/>
                <w:sz w:val="18"/>
                <w:szCs w:val="18"/>
                <w:lang w:val="en-US"/>
              </w:rPr>
              <w:t xml:space="preserve"> </w:t>
            </w:r>
            <w:r w:rsidR="00097576" w:rsidRPr="003A2249">
              <w:rPr>
                <w:rFonts w:ascii="Arial" w:hAnsi="Arial" w:cs="Arial"/>
                <w:sz w:val="18"/>
                <w:szCs w:val="18"/>
                <w:lang w:val="en-US"/>
              </w:rPr>
              <w:t xml:space="preserve">urbanized open space. </w:t>
            </w:r>
            <w:r w:rsidR="003B03B6" w:rsidRPr="003A2249">
              <w:rPr>
                <w:rFonts w:ascii="Arial" w:hAnsi="Arial" w:cs="Arial"/>
                <w:sz w:val="18"/>
                <w:szCs w:val="18"/>
                <w:lang w:val="en-US"/>
              </w:rPr>
              <w:t>Th</w:t>
            </w:r>
            <w:r w:rsidR="00024BDC" w:rsidRPr="003A2249">
              <w:rPr>
                <w:rFonts w:ascii="Arial" w:hAnsi="Arial" w:cs="Arial"/>
                <w:sz w:val="18"/>
                <w:szCs w:val="18"/>
                <w:lang w:val="en-US"/>
              </w:rPr>
              <w:t xml:space="preserve">is process of urban agglomeration </w:t>
            </w:r>
            <w:r w:rsidR="001A71D2" w:rsidRPr="003A2249">
              <w:rPr>
                <w:rFonts w:ascii="Arial" w:hAnsi="Arial" w:cs="Arial"/>
                <w:sz w:val="18"/>
                <w:szCs w:val="18"/>
                <w:lang w:val="en-US"/>
              </w:rPr>
              <w:t xml:space="preserve">can be implemented using </w:t>
            </w:r>
            <w:r w:rsidR="00FC562A" w:rsidRPr="003A2249">
              <w:rPr>
                <w:rFonts w:ascii="Arial" w:hAnsi="Arial" w:cs="Arial"/>
                <w:sz w:val="18"/>
                <w:szCs w:val="18"/>
                <w:lang w:val="en-US"/>
              </w:rPr>
              <w:t>simple visual interpretation</w:t>
            </w:r>
            <w:r w:rsidR="006220F8" w:rsidRPr="003A2249">
              <w:rPr>
                <w:rFonts w:ascii="Arial" w:hAnsi="Arial" w:cs="Arial"/>
                <w:sz w:val="18"/>
                <w:szCs w:val="18"/>
                <w:lang w:val="en-US"/>
              </w:rPr>
              <w:t xml:space="preserve"> or automatic geospatial techniques </w:t>
            </w:r>
            <w:r w:rsidR="00304626" w:rsidRPr="003A2249">
              <w:rPr>
                <w:rFonts w:ascii="Arial" w:hAnsi="Arial" w:cs="Arial"/>
                <w:sz w:val="18"/>
                <w:szCs w:val="18"/>
                <w:lang w:val="en-US"/>
              </w:rPr>
              <w:t>both techniques are illustrated in Monitoring and Reporting guideline for this indicator (</w:t>
            </w:r>
            <w:hyperlink r:id="rId31" w:history="1">
              <w:r w:rsidR="00304626" w:rsidRPr="003A2249">
                <w:rPr>
                  <w:rStyle w:val="Hyperlink"/>
                  <w:rFonts w:ascii="Arial" w:hAnsi="Arial" w:cs="Arial"/>
                  <w:sz w:val="18"/>
                  <w:szCs w:val="18"/>
                  <w:lang w:val="en-US"/>
                </w:rPr>
                <w:t>https://unhabitat.org/wp-content/uploads/2019/02/Indicator-11.3.1-Training-Module_Land-Consumption_Jan-2019.pdf</w:t>
              </w:r>
            </w:hyperlink>
            <w:r w:rsidR="00304626" w:rsidRPr="003A2249">
              <w:rPr>
                <w:rFonts w:ascii="Arial" w:hAnsi="Arial" w:cs="Arial"/>
                <w:sz w:val="18"/>
                <w:szCs w:val="18"/>
                <w:lang w:val="en-US"/>
              </w:rPr>
              <w:t>)</w:t>
            </w:r>
            <w:r w:rsidR="007F3A0C" w:rsidRPr="003A2249">
              <w:rPr>
                <w:rFonts w:ascii="Arial" w:hAnsi="Arial" w:cs="Arial"/>
                <w:sz w:val="18"/>
                <w:szCs w:val="18"/>
                <w:lang w:val="en-US"/>
              </w:rPr>
              <w:t>.</w:t>
            </w:r>
          </w:p>
          <w:p w14:paraId="6712B001" w14:textId="1C255365" w:rsidR="003F2DA2" w:rsidRPr="003A2249" w:rsidRDefault="00317FA1" w:rsidP="003F2DA2">
            <w:p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The thematic accuracy can be expected to be around 90% but deviation can occur depending on the character of the urban landscape.</w:t>
            </w:r>
            <w:r w:rsidR="00FC2BA0" w:rsidRPr="003A2249">
              <w:rPr>
                <w:rFonts w:ascii="Arial" w:hAnsi="Arial" w:cs="Arial"/>
                <w:sz w:val="18"/>
                <w:szCs w:val="18"/>
                <w:lang w:val="en-US"/>
              </w:rPr>
              <w:t xml:space="preserve"> </w:t>
            </w:r>
            <w:r w:rsidR="00FB3E13" w:rsidRPr="003A2249">
              <w:rPr>
                <w:rFonts w:ascii="Arial" w:hAnsi="Arial" w:cs="Arial"/>
                <w:sz w:val="18"/>
                <w:szCs w:val="18"/>
                <w:lang w:val="en-US"/>
              </w:rPr>
              <w:t>For this indicator, it is recommended to consider analysis periods with intervals of 5 or more years. Based on pilots undertaken by UN-Habitat, shorter time intervals do not produce significantly different results, unless such analysis is undertaken using high resolution (and often costly) satellite imagery</w:t>
            </w:r>
            <w:r w:rsidR="004A1D92" w:rsidRPr="003A2249">
              <w:rPr>
                <w:rFonts w:ascii="Arial" w:hAnsi="Arial" w:cs="Arial"/>
                <w:sz w:val="18"/>
                <w:szCs w:val="18"/>
                <w:lang w:val="en-US"/>
              </w:rPr>
              <w:t>.</w:t>
            </w:r>
            <w:r w:rsidR="00932C7B" w:rsidRPr="003A2249">
              <w:rPr>
                <w:rFonts w:ascii="Arial" w:hAnsi="Arial" w:cs="Arial"/>
                <w:sz w:val="18"/>
                <w:szCs w:val="18"/>
                <w:lang w:val="en-US"/>
              </w:rPr>
              <w:t xml:space="preserve"> It is recommended but not required to</w:t>
            </w:r>
            <w:r w:rsidR="00274B53" w:rsidRPr="003A2249">
              <w:rPr>
                <w:rFonts w:ascii="Arial" w:hAnsi="Arial" w:cs="Arial"/>
                <w:sz w:val="18"/>
                <w:szCs w:val="18"/>
                <w:lang w:val="en-US"/>
              </w:rPr>
              <w:t xml:space="preserve"> explore the Landsat archive for historic analysis </w:t>
            </w:r>
            <w:r w:rsidR="003F2DA2" w:rsidRPr="003A2249">
              <w:rPr>
                <w:rFonts w:ascii="Arial" w:hAnsi="Arial" w:cs="Arial"/>
                <w:sz w:val="18"/>
                <w:szCs w:val="18"/>
                <w:lang w:val="en-US"/>
              </w:rPr>
              <w:t xml:space="preserve">to better </w:t>
            </w:r>
            <w:r w:rsidR="006372E5" w:rsidRPr="003A2249">
              <w:rPr>
                <w:rFonts w:ascii="Arial" w:hAnsi="Arial" w:cs="Arial"/>
                <w:sz w:val="18"/>
                <w:szCs w:val="18"/>
                <w:lang w:val="en-US"/>
              </w:rPr>
              <w:t>understand</w:t>
            </w:r>
            <w:r w:rsidR="003F2DA2" w:rsidRPr="003A2249">
              <w:rPr>
                <w:rFonts w:ascii="Arial" w:hAnsi="Arial" w:cs="Arial"/>
                <w:sz w:val="18"/>
                <w:szCs w:val="18"/>
                <w:lang w:val="en-US"/>
              </w:rPr>
              <w:t xml:space="preserve"> </w:t>
            </w:r>
            <w:r w:rsidR="00274B53" w:rsidRPr="003A2249">
              <w:rPr>
                <w:rFonts w:ascii="Arial" w:hAnsi="Arial" w:cs="Arial"/>
                <w:sz w:val="18"/>
                <w:szCs w:val="18"/>
                <w:lang w:val="en-US"/>
              </w:rPr>
              <w:t xml:space="preserve">urban growth trends and how </w:t>
            </w:r>
            <w:r w:rsidR="006372E5" w:rsidRPr="003A2249">
              <w:rPr>
                <w:rFonts w:ascii="Arial" w:hAnsi="Arial" w:cs="Arial"/>
                <w:sz w:val="18"/>
                <w:szCs w:val="18"/>
                <w:lang w:val="en-US"/>
              </w:rPr>
              <w:t>these affects</w:t>
            </w:r>
            <w:r w:rsidR="00274B53" w:rsidRPr="003A2249">
              <w:rPr>
                <w:rFonts w:ascii="Arial" w:hAnsi="Arial" w:cs="Arial"/>
                <w:sz w:val="18"/>
                <w:szCs w:val="18"/>
                <w:lang w:val="en-US"/>
              </w:rPr>
              <w:t xml:space="preserve"> sustainable development</w:t>
            </w:r>
            <w:r w:rsidR="003F2DA2" w:rsidRPr="003A2249">
              <w:rPr>
                <w:rFonts w:ascii="Arial" w:hAnsi="Arial" w:cs="Arial"/>
                <w:sz w:val="18"/>
                <w:szCs w:val="18"/>
                <w:lang w:val="en-US"/>
              </w:rPr>
              <w:t>.</w:t>
            </w:r>
            <w:r w:rsidR="00274B53" w:rsidRPr="003A2249">
              <w:rPr>
                <w:rFonts w:ascii="Arial" w:hAnsi="Arial" w:cs="Arial"/>
                <w:sz w:val="18"/>
                <w:szCs w:val="18"/>
                <w:lang w:val="en-US"/>
              </w:rPr>
              <w:t xml:space="preserve"> </w:t>
            </w:r>
          </w:p>
          <w:p w14:paraId="1D08429C" w14:textId="68C5CCFD" w:rsidR="00796558" w:rsidRPr="003A2249" w:rsidRDefault="00796558" w:rsidP="00EF7453">
            <w:p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 xml:space="preserve">Once the </w:t>
            </w:r>
            <w:r w:rsidR="00B65C75" w:rsidRPr="003A2249">
              <w:rPr>
                <w:rFonts w:ascii="Arial" w:hAnsi="Arial" w:cs="Arial"/>
                <w:sz w:val="18"/>
                <w:szCs w:val="18"/>
                <w:lang w:val="en-US"/>
              </w:rPr>
              <w:t xml:space="preserve">urban extent has been defined </w:t>
            </w:r>
            <w:r w:rsidR="0052292F" w:rsidRPr="003A2249">
              <w:rPr>
                <w:rFonts w:ascii="Arial" w:hAnsi="Arial" w:cs="Arial"/>
                <w:sz w:val="18"/>
                <w:szCs w:val="18"/>
                <w:lang w:val="en-US"/>
              </w:rPr>
              <w:t xml:space="preserve">users need to estimate how many people live within those areas. </w:t>
            </w:r>
            <w:r w:rsidR="00ED13DC" w:rsidRPr="003A2249">
              <w:rPr>
                <w:rFonts w:ascii="Arial" w:hAnsi="Arial" w:cs="Arial"/>
                <w:sz w:val="18"/>
                <w:szCs w:val="18"/>
                <w:lang w:val="en-US"/>
              </w:rPr>
              <w:t xml:space="preserve">In the absence of high-resolution population data from the NSO </w:t>
            </w:r>
            <w:r w:rsidR="00EC3146" w:rsidRPr="003A2249">
              <w:rPr>
                <w:rFonts w:ascii="Arial" w:hAnsi="Arial" w:cs="Arial"/>
                <w:sz w:val="18"/>
                <w:szCs w:val="18"/>
                <w:lang w:val="en-US"/>
              </w:rPr>
              <w:t xml:space="preserve">users </w:t>
            </w:r>
            <w:r w:rsidR="00F81783" w:rsidRPr="003A2249">
              <w:rPr>
                <w:rFonts w:ascii="Arial" w:hAnsi="Arial" w:cs="Arial"/>
                <w:sz w:val="18"/>
                <w:szCs w:val="18"/>
                <w:lang w:val="en-US"/>
              </w:rPr>
              <w:t>need to</w:t>
            </w:r>
            <w:r w:rsidR="00ED13DC" w:rsidRPr="003A2249">
              <w:rPr>
                <w:rFonts w:ascii="Arial" w:hAnsi="Arial" w:cs="Arial"/>
                <w:sz w:val="18"/>
                <w:szCs w:val="18"/>
                <w:lang w:val="en-US"/>
              </w:rPr>
              <w:t xml:space="preserve"> rely om gridded population data</w:t>
            </w:r>
            <w:r w:rsidR="004D28B9" w:rsidRPr="003A2249">
              <w:rPr>
                <w:rFonts w:ascii="Arial" w:hAnsi="Arial" w:cs="Arial"/>
                <w:sz w:val="18"/>
                <w:szCs w:val="18"/>
                <w:lang w:val="en-US"/>
              </w:rPr>
              <w:t xml:space="preserve">. </w:t>
            </w:r>
            <w:r w:rsidR="00B43BC4" w:rsidRPr="003A2249">
              <w:rPr>
                <w:rFonts w:ascii="Arial" w:hAnsi="Arial" w:cs="Arial"/>
                <w:sz w:val="18"/>
                <w:szCs w:val="18"/>
                <w:lang w:val="en-US"/>
              </w:rPr>
              <w:t>As g</w:t>
            </w:r>
            <w:r w:rsidR="004D28B9" w:rsidRPr="003A2249">
              <w:rPr>
                <w:rFonts w:ascii="Arial" w:hAnsi="Arial" w:cs="Arial"/>
                <w:sz w:val="18"/>
                <w:szCs w:val="18"/>
                <w:lang w:val="en-US"/>
              </w:rPr>
              <w:t xml:space="preserve">ridded population data </w:t>
            </w:r>
            <w:r w:rsidR="00435EE8" w:rsidRPr="003A2249">
              <w:rPr>
                <w:rFonts w:ascii="Arial" w:hAnsi="Arial" w:cs="Arial"/>
                <w:sz w:val="18"/>
                <w:szCs w:val="18"/>
                <w:lang w:val="en-US"/>
              </w:rPr>
              <w:t xml:space="preserve">normally </w:t>
            </w:r>
            <w:r w:rsidR="00F81783" w:rsidRPr="003A2249">
              <w:rPr>
                <w:rFonts w:ascii="Arial" w:hAnsi="Arial" w:cs="Arial"/>
                <w:sz w:val="18"/>
                <w:szCs w:val="18"/>
                <w:lang w:val="en-US"/>
              </w:rPr>
              <w:t xml:space="preserve">comes in </w:t>
            </w:r>
            <w:r w:rsidR="004D28B9" w:rsidRPr="003A2249">
              <w:rPr>
                <w:rFonts w:ascii="Arial" w:hAnsi="Arial" w:cs="Arial"/>
                <w:sz w:val="18"/>
                <w:szCs w:val="18"/>
                <w:lang w:val="en-US"/>
              </w:rPr>
              <w:t>a much coarser scale than the urban extent map</w:t>
            </w:r>
            <w:r w:rsidR="00B43BC4" w:rsidRPr="003A2249">
              <w:rPr>
                <w:rFonts w:ascii="Arial" w:hAnsi="Arial" w:cs="Arial"/>
                <w:sz w:val="18"/>
                <w:szCs w:val="18"/>
                <w:lang w:val="en-US"/>
              </w:rPr>
              <w:t xml:space="preserve"> </w:t>
            </w:r>
            <w:r w:rsidR="00EF7453" w:rsidRPr="003A2249">
              <w:rPr>
                <w:rFonts w:ascii="Arial" w:hAnsi="Arial" w:cs="Arial"/>
                <w:sz w:val="18"/>
                <w:szCs w:val="18"/>
                <w:lang w:val="en-US"/>
              </w:rPr>
              <w:t xml:space="preserve">users </w:t>
            </w:r>
            <w:r w:rsidR="00930565" w:rsidRPr="003A2249">
              <w:rPr>
                <w:rFonts w:ascii="Arial" w:hAnsi="Arial" w:cs="Arial"/>
                <w:sz w:val="18"/>
                <w:szCs w:val="18"/>
                <w:lang w:val="en-US"/>
              </w:rPr>
              <w:t xml:space="preserve">should </w:t>
            </w:r>
            <w:r w:rsidR="00A83F93" w:rsidRPr="003A2249">
              <w:rPr>
                <w:rFonts w:ascii="Arial" w:hAnsi="Arial" w:cs="Arial"/>
                <w:sz w:val="18"/>
                <w:szCs w:val="18"/>
                <w:lang w:val="en-US"/>
              </w:rPr>
              <w:t>re</w:t>
            </w:r>
            <w:r w:rsidR="00CF6A0A" w:rsidRPr="003A2249">
              <w:rPr>
                <w:rFonts w:ascii="Arial" w:hAnsi="Arial" w:cs="Arial"/>
                <w:sz w:val="18"/>
                <w:szCs w:val="18"/>
                <w:lang w:val="en-US"/>
              </w:rPr>
              <w:t>sample</w:t>
            </w:r>
            <w:r w:rsidR="007F5431" w:rsidRPr="003A2249">
              <w:rPr>
                <w:rFonts w:ascii="Arial" w:hAnsi="Arial" w:cs="Arial"/>
                <w:sz w:val="18"/>
                <w:szCs w:val="18"/>
                <w:lang w:val="en-US"/>
              </w:rPr>
              <w:t xml:space="preserve"> </w:t>
            </w:r>
            <w:r w:rsidR="00EF7453" w:rsidRPr="003A2249">
              <w:rPr>
                <w:rFonts w:ascii="Arial" w:hAnsi="Arial" w:cs="Arial"/>
                <w:sz w:val="18"/>
                <w:szCs w:val="18"/>
                <w:lang w:val="en-US"/>
              </w:rPr>
              <w:t>the population</w:t>
            </w:r>
            <w:r w:rsidR="00D0752B" w:rsidRPr="003A2249">
              <w:rPr>
                <w:rFonts w:ascii="Arial" w:hAnsi="Arial" w:cs="Arial"/>
                <w:sz w:val="18"/>
                <w:szCs w:val="18"/>
                <w:lang w:val="en-US"/>
              </w:rPr>
              <w:t xml:space="preserve"> </w:t>
            </w:r>
            <w:r w:rsidR="003D07BE" w:rsidRPr="003A2249">
              <w:rPr>
                <w:rFonts w:ascii="Arial" w:hAnsi="Arial" w:cs="Arial"/>
                <w:sz w:val="18"/>
                <w:szCs w:val="18"/>
                <w:lang w:val="en-US"/>
              </w:rPr>
              <w:t xml:space="preserve">grids </w:t>
            </w:r>
            <w:r w:rsidR="009E6EAD" w:rsidRPr="003A2249">
              <w:rPr>
                <w:rFonts w:ascii="Arial" w:hAnsi="Arial" w:cs="Arial"/>
                <w:sz w:val="18"/>
                <w:szCs w:val="18"/>
                <w:lang w:val="en-US"/>
              </w:rPr>
              <w:t xml:space="preserve">using the urban extent map </w:t>
            </w:r>
            <w:r w:rsidR="00873080" w:rsidRPr="003A2249">
              <w:rPr>
                <w:rFonts w:ascii="Arial" w:hAnsi="Arial" w:cs="Arial"/>
                <w:sz w:val="18"/>
                <w:szCs w:val="18"/>
                <w:lang w:val="en-US"/>
              </w:rPr>
              <w:t xml:space="preserve">as the weighting factor </w:t>
            </w:r>
            <w:r w:rsidR="003D07BE" w:rsidRPr="003A2249">
              <w:rPr>
                <w:rFonts w:ascii="Arial" w:hAnsi="Arial" w:cs="Arial"/>
                <w:sz w:val="18"/>
                <w:szCs w:val="18"/>
                <w:lang w:val="en-US"/>
              </w:rPr>
              <w:t>so non-urban areas</w:t>
            </w:r>
            <w:r w:rsidR="00EF7453" w:rsidRPr="003A2249">
              <w:rPr>
                <w:rFonts w:ascii="Arial" w:hAnsi="Arial" w:cs="Arial"/>
                <w:sz w:val="18"/>
                <w:szCs w:val="18"/>
                <w:lang w:val="en-US"/>
              </w:rPr>
              <w:t xml:space="preserve"> will have less </w:t>
            </w:r>
            <w:r w:rsidR="003D07BE" w:rsidRPr="003A2249">
              <w:rPr>
                <w:rFonts w:ascii="Arial" w:hAnsi="Arial" w:cs="Arial"/>
                <w:sz w:val="18"/>
                <w:szCs w:val="18"/>
                <w:lang w:val="en-US"/>
              </w:rPr>
              <w:t xml:space="preserve">weight than </w:t>
            </w:r>
            <w:r w:rsidR="00B43BC4" w:rsidRPr="003A2249">
              <w:rPr>
                <w:rFonts w:ascii="Arial" w:hAnsi="Arial" w:cs="Arial"/>
                <w:sz w:val="18"/>
                <w:szCs w:val="18"/>
                <w:lang w:val="en-US"/>
              </w:rPr>
              <w:t>the urban areas.</w:t>
            </w:r>
          </w:p>
          <w:p w14:paraId="62F7E9BA" w14:textId="77777777" w:rsidR="009919D9" w:rsidRPr="003A2249" w:rsidRDefault="009919D9" w:rsidP="00FD33D6">
            <w:pPr>
              <w:tabs>
                <w:tab w:val="left" w:pos="2126"/>
              </w:tabs>
              <w:spacing w:beforeLines="60" w:before="144" w:afterLines="60" w:after="144" w:line="240" w:lineRule="atLeast"/>
              <w:rPr>
                <w:rFonts w:ascii="Arial" w:hAnsi="Arial" w:cs="Arial"/>
                <w:b/>
                <w:sz w:val="18"/>
                <w:szCs w:val="18"/>
                <w:lang w:val="en-US"/>
              </w:rPr>
            </w:pPr>
            <w:r w:rsidRPr="003A2249">
              <w:rPr>
                <w:rFonts w:ascii="Arial" w:hAnsi="Arial" w:cs="Arial"/>
                <w:b/>
                <w:sz w:val="18"/>
                <w:szCs w:val="18"/>
                <w:lang w:val="en-US"/>
              </w:rPr>
              <w:t xml:space="preserve">STEP 3: Validate the results </w:t>
            </w:r>
          </w:p>
          <w:p w14:paraId="2C8E4584" w14:textId="4EE2727D" w:rsidR="00352157" w:rsidRPr="003A2249" w:rsidRDefault="00352157" w:rsidP="00FD33D6">
            <w:pPr>
              <w:tabs>
                <w:tab w:val="left" w:pos="2126"/>
              </w:tabs>
              <w:spacing w:before="60" w:after="60" w:line="240" w:lineRule="atLeast"/>
              <w:rPr>
                <w:rFonts w:ascii="Arial" w:hAnsi="Arial" w:cs="Arial"/>
                <w:sz w:val="18"/>
                <w:szCs w:val="18"/>
                <w:lang w:val="en-US"/>
              </w:rPr>
            </w:pPr>
            <w:r w:rsidRPr="003A2249">
              <w:rPr>
                <w:rFonts w:ascii="Arial" w:hAnsi="Arial" w:cs="Arial"/>
                <w:sz w:val="18"/>
                <w:szCs w:val="18"/>
                <w:lang w:val="en-US"/>
              </w:rPr>
              <w:t xml:space="preserve">Validation is defined as the process of establishing documented evidence to provide a high degree of assurance that a specific process will consistently generate a product meeting its predetermined specification and quality attributes. Validation is important for any application of Earth Observation as it establish the expected accuracy and uncertainties of a derived product and hence its credibility for an intended usage. </w:t>
            </w:r>
          </w:p>
          <w:p w14:paraId="27C41D11" w14:textId="77777777" w:rsidR="001E3EA8" w:rsidRPr="003A2249" w:rsidRDefault="001E3EA8" w:rsidP="001E3EA8">
            <w:pPr>
              <w:tabs>
                <w:tab w:val="left" w:pos="2126"/>
              </w:tabs>
              <w:spacing w:before="60" w:after="60" w:line="240" w:lineRule="atLeast"/>
              <w:rPr>
                <w:rFonts w:ascii="Arial" w:hAnsi="Arial" w:cs="Arial"/>
                <w:sz w:val="18"/>
                <w:szCs w:val="18"/>
                <w:lang w:val="en-US"/>
              </w:rPr>
            </w:pPr>
            <w:r w:rsidRPr="003A2249">
              <w:rPr>
                <w:rFonts w:ascii="Arial" w:hAnsi="Arial" w:cs="Arial"/>
                <w:sz w:val="18"/>
                <w:szCs w:val="18"/>
                <w:lang w:val="en-US"/>
              </w:rPr>
              <w:t xml:space="preserve">Validation should be according to best practice which dictate adhering to a set of fundamental requirements, including: </w:t>
            </w:r>
            <w:r w:rsidRPr="003A2249">
              <w:rPr>
                <w:rFonts w:ascii="Arial" w:hAnsi="Arial" w:cs="Arial"/>
                <w:b/>
                <w:sz w:val="18"/>
                <w:szCs w:val="18"/>
                <w:lang w:val="en-US"/>
              </w:rPr>
              <w:t>Independence</w:t>
            </w:r>
            <w:r w:rsidRPr="003A2249">
              <w:rPr>
                <w:rFonts w:ascii="Arial" w:hAnsi="Arial" w:cs="Arial"/>
                <w:sz w:val="18"/>
                <w:szCs w:val="18"/>
                <w:lang w:val="en-US"/>
              </w:rPr>
              <w:t xml:space="preserve">, i.e. only using data and experts which have not been part of production; </w:t>
            </w:r>
            <w:r w:rsidRPr="003A2249">
              <w:rPr>
                <w:rFonts w:ascii="Arial" w:hAnsi="Arial" w:cs="Arial"/>
                <w:b/>
                <w:sz w:val="18"/>
                <w:szCs w:val="18"/>
                <w:lang w:val="en-US"/>
              </w:rPr>
              <w:t>Timeliness</w:t>
            </w:r>
            <w:r w:rsidRPr="003A2249">
              <w:rPr>
                <w:rFonts w:ascii="Arial" w:hAnsi="Arial" w:cs="Arial"/>
                <w:sz w:val="18"/>
                <w:szCs w:val="18"/>
                <w:lang w:val="en-US"/>
              </w:rPr>
              <w:t xml:space="preserve">, i.e. only using reference data which are timely and frequent enough to evaluate the accuracy of a given product; and </w:t>
            </w:r>
            <w:r w:rsidRPr="003A2249">
              <w:rPr>
                <w:rFonts w:ascii="Arial" w:hAnsi="Arial" w:cs="Arial"/>
                <w:b/>
                <w:sz w:val="18"/>
                <w:szCs w:val="18"/>
                <w:lang w:val="en-US"/>
              </w:rPr>
              <w:t>Validity</w:t>
            </w:r>
            <w:r w:rsidRPr="003A2249">
              <w:rPr>
                <w:rFonts w:ascii="Arial" w:hAnsi="Arial" w:cs="Arial"/>
                <w:sz w:val="18"/>
                <w:szCs w:val="18"/>
                <w:lang w:val="en-US"/>
              </w:rPr>
              <w:t>, i.e. always using reference data with a higher quality than those used for production.</w:t>
            </w:r>
          </w:p>
          <w:p w14:paraId="38BFF980" w14:textId="521FD6A9" w:rsidR="001B3A40" w:rsidRPr="003A2249" w:rsidRDefault="00122835" w:rsidP="00FD33D6">
            <w:pPr>
              <w:tabs>
                <w:tab w:val="left" w:pos="2126"/>
              </w:tabs>
              <w:spacing w:before="60" w:after="60" w:line="240" w:lineRule="atLeast"/>
              <w:rPr>
                <w:rFonts w:ascii="Arial" w:hAnsi="Arial" w:cs="Arial"/>
                <w:sz w:val="18"/>
                <w:szCs w:val="18"/>
                <w:lang w:val="en-US"/>
              </w:rPr>
            </w:pPr>
            <w:r w:rsidRPr="003A2249">
              <w:rPr>
                <w:rFonts w:ascii="Arial" w:hAnsi="Arial" w:cs="Arial"/>
                <w:sz w:val="18"/>
                <w:szCs w:val="18"/>
                <w:lang w:val="en-US"/>
              </w:rPr>
              <w:t>As the</w:t>
            </w:r>
            <w:r w:rsidR="0088635C" w:rsidRPr="003A2249">
              <w:rPr>
                <w:rFonts w:ascii="Arial" w:hAnsi="Arial" w:cs="Arial"/>
                <w:sz w:val="18"/>
                <w:szCs w:val="18"/>
                <w:lang w:val="en-US"/>
              </w:rPr>
              <w:t xml:space="preserve"> number of pixels and/or objects in Earth Observation maps are too large to </w:t>
            </w:r>
            <w:r w:rsidRPr="003A2249">
              <w:rPr>
                <w:rFonts w:ascii="Arial" w:hAnsi="Arial" w:cs="Arial"/>
                <w:sz w:val="18"/>
                <w:szCs w:val="18"/>
                <w:lang w:val="en-US"/>
              </w:rPr>
              <w:t xml:space="preserve">all be surveyed the </w:t>
            </w:r>
            <w:r w:rsidR="00834235" w:rsidRPr="003A2249">
              <w:rPr>
                <w:rFonts w:ascii="Arial" w:hAnsi="Arial" w:cs="Arial"/>
                <w:sz w:val="18"/>
                <w:szCs w:val="18"/>
                <w:lang w:val="en-US"/>
              </w:rPr>
              <w:t>most popular data validation method</w:t>
            </w:r>
            <w:r w:rsidRPr="003A2249">
              <w:rPr>
                <w:rFonts w:ascii="Arial" w:hAnsi="Arial" w:cs="Arial"/>
                <w:sz w:val="18"/>
                <w:szCs w:val="18"/>
                <w:lang w:val="en-US"/>
              </w:rPr>
              <w:t>s</w:t>
            </w:r>
            <w:r w:rsidR="00834235" w:rsidRPr="003A2249">
              <w:rPr>
                <w:rFonts w:ascii="Arial" w:hAnsi="Arial" w:cs="Arial"/>
                <w:sz w:val="18"/>
                <w:szCs w:val="18"/>
                <w:lang w:val="en-US"/>
              </w:rPr>
              <w:t xml:space="preserve"> </w:t>
            </w:r>
            <w:r w:rsidRPr="003A2249">
              <w:rPr>
                <w:rFonts w:ascii="Arial" w:hAnsi="Arial" w:cs="Arial"/>
                <w:sz w:val="18"/>
                <w:szCs w:val="18"/>
                <w:lang w:val="en-US"/>
              </w:rPr>
              <w:t>relies on</w:t>
            </w:r>
            <w:r w:rsidR="00834235" w:rsidRPr="003A2249">
              <w:rPr>
                <w:rFonts w:ascii="Arial" w:hAnsi="Arial" w:cs="Arial"/>
                <w:sz w:val="18"/>
                <w:szCs w:val="18"/>
                <w:lang w:val="en-US"/>
              </w:rPr>
              <w:t xml:space="preserve"> </w:t>
            </w:r>
            <w:r w:rsidRPr="003A2249">
              <w:rPr>
                <w:rFonts w:ascii="Arial" w:hAnsi="Arial" w:cs="Arial"/>
                <w:sz w:val="18"/>
                <w:szCs w:val="18"/>
                <w:lang w:val="en-US"/>
              </w:rPr>
              <w:t>s</w:t>
            </w:r>
            <w:r w:rsidR="00834235" w:rsidRPr="003A2249">
              <w:rPr>
                <w:rFonts w:ascii="Arial" w:hAnsi="Arial" w:cs="Arial"/>
                <w:sz w:val="18"/>
                <w:szCs w:val="18"/>
                <w:lang w:val="en-US"/>
              </w:rPr>
              <w:t>amplin</w:t>
            </w:r>
            <w:r w:rsidRPr="003A2249">
              <w:rPr>
                <w:rFonts w:ascii="Arial" w:hAnsi="Arial" w:cs="Arial"/>
                <w:sz w:val="18"/>
                <w:szCs w:val="18"/>
                <w:lang w:val="en-US"/>
              </w:rPr>
              <w:t xml:space="preserve">g. The sampling needs to be carefully designed to ensure statistical validity, and yet still accommodating practical realities in terms of cost and time constraints. </w:t>
            </w:r>
            <w:r w:rsidR="001B3A40" w:rsidRPr="003A2249">
              <w:rPr>
                <w:rFonts w:ascii="Arial" w:hAnsi="Arial" w:cs="Arial"/>
                <w:sz w:val="18"/>
                <w:szCs w:val="18"/>
                <w:lang w:val="en-US"/>
              </w:rPr>
              <w:t>Various probability sampling designs are suitable to assess the accuracy of maps, the most commonly used are based on simple random, stratified random, and systematic selection of sampling units</w:t>
            </w:r>
            <w:r w:rsidR="001E3EA8" w:rsidRPr="003A2249">
              <w:rPr>
                <w:rFonts w:ascii="Arial" w:hAnsi="Arial" w:cs="Arial"/>
                <w:sz w:val="18"/>
                <w:szCs w:val="18"/>
                <w:lang w:val="en-US"/>
              </w:rPr>
              <w:t xml:space="preserve">. </w:t>
            </w:r>
            <w:r w:rsidR="001B3A40" w:rsidRPr="003A2249">
              <w:rPr>
                <w:rFonts w:ascii="Arial" w:hAnsi="Arial" w:cs="Arial"/>
                <w:sz w:val="18"/>
                <w:szCs w:val="18"/>
                <w:lang w:val="en-US"/>
              </w:rPr>
              <w:t>No single sampling design can serve as a universally appropriate design; however, stratified random sampling is a practical and cost-efficient design that satisfies the basic accuracy assessment objectives and most of the desirable design criteria. Stratified random sampling affords the option to increase the sample size in classes and/or regions that occupy a small proportion of area to reduce the standard errors of the class/region-specific accuracy estimates for these rare occurrences. A further advantage of stratified random sampling is also the ability to augment a sample when new data or updates become available without compromising the statistical rigor</w:t>
            </w:r>
            <w:r w:rsidR="001E3EA8" w:rsidRPr="003A2249">
              <w:rPr>
                <w:rFonts w:ascii="Arial" w:hAnsi="Arial" w:cs="Arial"/>
                <w:sz w:val="18"/>
                <w:szCs w:val="18"/>
                <w:lang w:val="en-US"/>
              </w:rPr>
              <w:t>.</w:t>
            </w:r>
          </w:p>
          <w:p w14:paraId="5C12ED8C" w14:textId="326B8751" w:rsidR="009919D9" w:rsidRPr="003A2249" w:rsidRDefault="00352157" w:rsidP="00FD33D6">
            <w:pPr>
              <w:tabs>
                <w:tab w:val="left" w:pos="2126"/>
              </w:tabs>
              <w:spacing w:before="60" w:after="60" w:line="240" w:lineRule="atLeast"/>
              <w:rPr>
                <w:rFonts w:ascii="Arial" w:hAnsi="Arial" w:cs="Arial"/>
                <w:sz w:val="18"/>
                <w:szCs w:val="18"/>
                <w:lang w:val="en-US"/>
              </w:rPr>
            </w:pPr>
            <w:r w:rsidRPr="003A2249">
              <w:rPr>
                <w:rFonts w:ascii="Arial" w:hAnsi="Arial" w:cs="Arial"/>
                <w:sz w:val="18"/>
                <w:szCs w:val="18"/>
                <w:lang w:val="en-US"/>
              </w:rPr>
              <w:t xml:space="preserve">Independent, timely and valid </w:t>
            </w:r>
            <w:r w:rsidR="00122835" w:rsidRPr="003A2249">
              <w:rPr>
                <w:rFonts w:ascii="Arial" w:hAnsi="Arial" w:cs="Arial"/>
                <w:sz w:val="18"/>
                <w:szCs w:val="18"/>
                <w:lang w:val="en-US"/>
              </w:rPr>
              <w:t>sample</w:t>
            </w:r>
            <w:r w:rsidRPr="003A2249">
              <w:rPr>
                <w:rFonts w:ascii="Arial" w:hAnsi="Arial" w:cs="Arial"/>
                <w:sz w:val="18"/>
                <w:szCs w:val="18"/>
                <w:lang w:val="en-US"/>
              </w:rPr>
              <w:t xml:space="preserve"> data is typically gathered in fie</w:t>
            </w:r>
            <w:r w:rsidR="00122835" w:rsidRPr="003A2249">
              <w:rPr>
                <w:rFonts w:ascii="Arial" w:hAnsi="Arial" w:cs="Arial"/>
                <w:sz w:val="18"/>
                <w:szCs w:val="18"/>
                <w:lang w:val="en-US"/>
              </w:rPr>
              <w:t>l</w:t>
            </w:r>
            <w:r w:rsidRPr="003A2249">
              <w:rPr>
                <w:rFonts w:ascii="Arial" w:hAnsi="Arial" w:cs="Arial"/>
                <w:sz w:val="18"/>
                <w:szCs w:val="18"/>
                <w:lang w:val="en-US"/>
              </w:rPr>
              <w:t xml:space="preserve">d and/or from higher resolution imagery acquired by satellite, flight or drone borne sensors. In all cases the urban vs. non-urban margin can easily be interpreted and it is the general expectation that the validation of </w:t>
            </w:r>
            <w:r w:rsidR="00FD33D6" w:rsidRPr="003A2249">
              <w:rPr>
                <w:rFonts w:ascii="Arial" w:hAnsi="Arial" w:cs="Arial"/>
                <w:sz w:val="18"/>
                <w:szCs w:val="18"/>
                <w:lang w:val="en-US"/>
              </w:rPr>
              <w:t xml:space="preserve">built-up areas and the derived </w:t>
            </w:r>
            <w:r w:rsidRPr="003A2249">
              <w:rPr>
                <w:rFonts w:ascii="Arial" w:hAnsi="Arial" w:cs="Arial"/>
                <w:sz w:val="18"/>
                <w:szCs w:val="18"/>
                <w:lang w:val="en-US"/>
              </w:rPr>
              <w:t>urban extent maps against such reference data should return a classification accuracy in the order of 90%.</w:t>
            </w:r>
          </w:p>
          <w:p w14:paraId="694804BC" w14:textId="522C2A71" w:rsidR="001B3A40" w:rsidRPr="003A2249" w:rsidRDefault="001B3A40" w:rsidP="00FD33D6">
            <w:pPr>
              <w:tabs>
                <w:tab w:val="left" w:pos="2126"/>
              </w:tabs>
              <w:spacing w:before="60" w:after="60" w:line="240" w:lineRule="atLeast"/>
              <w:rPr>
                <w:rFonts w:ascii="Arial" w:hAnsi="Arial" w:cs="Arial"/>
                <w:sz w:val="18"/>
                <w:szCs w:val="18"/>
                <w:lang w:val="en-US"/>
              </w:rPr>
            </w:pPr>
          </w:p>
        </w:tc>
      </w:tr>
      <w:tr w:rsidR="00E30EED" w:rsidRPr="003A2249" w14:paraId="211DA084" w14:textId="77777777" w:rsidTr="003305CC">
        <w:tc>
          <w:tcPr>
            <w:tcW w:w="9657" w:type="dxa"/>
            <w:gridSpan w:val="4"/>
            <w:shd w:val="clear" w:color="auto" w:fill="D9D9D9"/>
          </w:tcPr>
          <w:p w14:paraId="65950640" w14:textId="28DBDE69" w:rsidR="00E30EED" w:rsidRPr="003A2249" w:rsidRDefault="00E30EED" w:rsidP="00FD33D6">
            <w:pPr>
              <w:tabs>
                <w:tab w:val="left" w:pos="2126"/>
              </w:tabs>
              <w:spacing w:beforeLines="60" w:before="144" w:afterLines="60" w:after="144" w:line="240" w:lineRule="atLeast"/>
              <w:rPr>
                <w:rFonts w:ascii="Arial" w:hAnsi="Arial"/>
                <w:b/>
                <w:i/>
                <w:color w:val="005A8C"/>
                <w:sz w:val="18"/>
                <w:lang w:val="en-US"/>
              </w:rPr>
            </w:pPr>
            <w:r w:rsidRPr="003A2249">
              <w:rPr>
                <w:rFonts w:ascii="Arial" w:hAnsi="Arial"/>
                <w:b/>
                <w:color w:val="005A8C"/>
                <w:sz w:val="18"/>
                <w:lang w:val="en-US"/>
              </w:rPr>
              <w:lastRenderedPageBreak/>
              <w:t>Recommendations for implementation</w:t>
            </w:r>
          </w:p>
        </w:tc>
      </w:tr>
      <w:tr w:rsidR="001B3A40" w:rsidRPr="003A2249" w14:paraId="394B3B33" w14:textId="77777777" w:rsidTr="001B3A40">
        <w:tc>
          <w:tcPr>
            <w:tcW w:w="1653" w:type="dxa"/>
          </w:tcPr>
          <w:p w14:paraId="20818222" w14:textId="67AE624B" w:rsidR="001B3A40" w:rsidRPr="003A2249" w:rsidRDefault="001B3A40" w:rsidP="00FD33D6">
            <w:pPr>
              <w:tabs>
                <w:tab w:val="left" w:pos="2126"/>
              </w:tabs>
              <w:spacing w:beforeLines="60" w:before="144" w:afterLines="60" w:after="144" w:line="240" w:lineRule="atLeast"/>
              <w:rPr>
                <w:rFonts w:ascii="Arial" w:hAnsi="Arial"/>
                <w:color w:val="005A8C"/>
                <w:sz w:val="18"/>
                <w:lang w:val="en-US"/>
              </w:rPr>
            </w:pPr>
            <w:r w:rsidRPr="003A2249">
              <w:rPr>
                <w:rFonts w:ascii="Arial" w:hAnsi="Arial"/>
                <w:color w:val="005A8C"/>
                <w:sz w:val="18"/>
                <w:lang w:val="en-US"/>
              </w:rPr>
              <w:t>Activities</w:t>
            </w:r>
          </w:p>
        </w:tc>
        <w:tc>
          <w:tcPr>
            <w:tcW w:w="8004" w:type="dxa"/>
            <w:gridSpan w:val="3"/>
          </w:tcPr>
          <w:p w14:paraId="2C3930CE" w14:textId="4DB8EC8A" w:rsidR="00FD3E91" w:rsidRPr="003A2249" w:rsidRDefault="00FD3E91" w:rsidP="00FD3E91">
            <w:p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i/>
                <w:sz w:val="18"/>
                <w:szCs w:val="18"/>
                <w:lang w:val="en-US"/>
              </w:rPr>
              <w:t>Tentative, not necessarily in sequential order</w:t>
            </w:r>
          </w:p>
          <w:p w14:paraId="0E4346C4" w14:textId="78D038AD" w:rsidR="00FF4C04" w:rsidRPr="003A2249" w:rsidRDefault="00FF4C04" w:rsidP="00D766F6">
            <w:pPr>
              <w:pStyle w:val="ListParagraph"/>
              <w:numPr>
                <w:ilvl w:val="0"/>
                <w:numId w:val="8"/>
              </w:numPr>
              <w:tabs>
                <w:tab w:val="left" w:pos="2126"/>
              </w:tabs>
              <w:spacing w:beforeLines="60" w:before="144" w:afterLines="60" w:after="144" w:line="240" w:lineRule="atLeast"/>
              <w:ind w:left="714" w:hanging="357"/>
              <w:contextualSpacing w:val="0"/>
              <w:rPr>
                <w:rFonts w:ascii="Arial" w:hAnsi="Arial" w:cs="Arial"/>
                <w:sz w:val="18"/>
                <w:szCs w:val="18"/>
                <w:lang w:val="en-US"/>
              </w:rPr>
            </w:pPr>
            <w:r w:rsidRPr="003A2249">
              <w:rPr>
                <w:rFonts w:ascii="Arial" w:hAnsi="Arial" w:cs="Arial"/>
                <w:sz w:val="18"/>
                <w:szCs w:val="18"/>
                <w:lang w:val="en-US"/>
              </w:rPr>
              <w:t xml:space="preserve">Evaluate the usefulness of global public domain datasets </w:t>
            </w:r>
            <w:r w:rsidR="00FD3E91" w:rsidRPr="003A2249">
              <w:rPr>
                <w:rFonts w:ascii="Arial" w:hAnsi="Arial" w:cs="Arial"/>
                <w:sz w:val="18"/>
                <w:szCs w:val="18"/>
                <w:lang w:val="en-US"/>
              </w:rPr>
              <w:t xml:space="preserve">and tools </w:t>
            </w:r>
            <w:r w:rsidRPr="003A2249">
              <w:rPr>
                <w:rFonts w:ascii="Arial" w:hAnsi="Arial" w:cs="Arial"/>
                <w:sz w:val="18"/>
                <w:szCs w:val="18"/>
                <w:lang w:val="en-US"/>
              </w:rPr>
              <w:t xml:space="preserve">for national reporting. This could be done for a few selected countries where SDG 11.3.1 have already been estimated with high resolution good quality input layers </w:t>
            </w:r>
            <w:r w:rsidR="00FD3E91" w:rsidRPr="003A2249">
              <w:rPr>
                <w:rFonts w:ascii="Arial" w:hAnsi="Arial" w:cs="Arial"/>
                <w:sz w:val="18"/>
                <w:szCs w:val="18"/>
                <w:lang w:val="en-US"/>
              </w:rPr>
              <w:t>which can act as reference;</w:t>
            </w:r>
          </w:p>
          <w:p w14:paraId="1EC1464B" w14:textId="1C8551DA" w:rsidR="00FD3E91" w:rsidRPr="003A2249" w:rsidRDefault="00FD3E91" w:rsidP="00D766F6">
            <w:pPr>
              <w:pStyle w:val="ListParagraph"/>
              <w:numPr>
                <w:ilvl w:val="0"/>
                <w:numId w:val="8"/>
              </w:numPr>
              <w:tabs>
                <w:tab w:val="left" w:pos="2126"/>
              </w:tabs>
              <w:spacing w:beforeLines="60" w:before="144" w:afterLines="60" w:after="144" w:line="240" w:lineRule="atLeast"/>
              <w:ind w:left="714" w:hanging="357"/>
              <w:contextualSpacing w:val="0"/>
              <w:rPr>
                <w:rFonts w:ascii="Arial" w:hAnsi="Arial" w:cs="Arial"/>
                <w:sz w:val="18"/>
                <w:szCs w:val="18"/>
                <w:lang w:val="en-US"/>
              </w:rPr>
            </w:pPr>
            <w:r w:rsidRPr="003A2249">
              <w:rPr>
                <w:rFonts w:ascii="Arial" w:hAnsi="Arial" w:cs="Arial"/>
                <w:sz w:val="18"/>
                <w:szCs w:val="18"/>
                <w:lang w:val="en-US"/>
              </w:rPr>
              <w:t>Implement a few country studies where SDG 11.3.1 is estimated by taken full advantage of the Sentinel imagery for temporal mapping of built-up and non-built-up impervious areas for estimation of urban extent and their integration with national census from the NSO’s to get the ratio of land consumption rate to population growth rate;</w:t>
            </w:r>
          </w:p>
          <w:p w14:paraId="236A1F9B" w14:textId="363B8FDF" w:rsidR="00685539" w:rsidRPr="003A2249" w:rsidRDefault="007445E1" w:rsidP="00D766F6">
            <w:pPr>
              <w:pStyle w:val="ListParagraph"/>
              <w:numPr>
                <w:ilvl w:val="0"/>
                <w:numId w:val="8"/>
              </w:numPr>
              <w:tabs>
                <w:tab w:val="left" w:pos="2126"/>
              </w:tabs>
              <w:spacing w:beforeLines="60" w:before="144" w:afterLines="60" w:after="144" w:line="240" w:lineRule="atLeast"/>
              <w:ind w:left="714" w:hanging="357"/>
              <w:contextualSpacing w:val="0"/>
              <w:rPr>
                <w:rFonts w:ascii="Arial" w:hAnsi="Arial" w:cs="Arial"/>
                <w:sz w:val="18"/>
                <w:szCs w:val="18"/>
                <w:lang w:val="en-US"/>
              </w:rPr>
            </w:pPr>
            <w:r w:rsidRPr="003A2249">
              <w:rPr>
                <w:rFonts w:ascii="Arial" w:hAnsi="Arial" w:cs="Arial"/>
                <w:sz w:val="18"/>
                <w:szCs w:val="18"/>
                <w:lang w:val="en-US"/>
              </w:rPr>
              <w:t xml:space="preserve">Run processing tests and prepare a design document that details the computing and data storage requirements for countries who wish to take advantage of timeseries of Sentinel-1 and Sentinel-2 data for SDG 11.3.1 estimation and reporting. The design document should also </w:t>
            </w:r>
            <w:r w:rsidR="00073C53" w:rsidRPr="003A2249">
              <w:rPr>
                <w:rFonts w:ascii="Arial" w:hAnsi="Arial" w:cs="Arial"/>
                <w:sz w:val="18"/>
                <w:szCs w:val="18"/>
                <w:lang w:val="en-US"/>
              </w:rPr>
              <w:t xml:space="preserve">detail how similar resources could be requested though </w:t>
            </w:r>
            <w:r w:rsidRPr="003A2249">
              <w:rPr>
                <w:rFonts w:ascii="Arial" w:hAnsi="Arial" w:cs="Arial"/>
                <w:sz w:val="18"/>
                <w:szCs w:val="18"/>
                <w:lang w:val="en-US"/>
              </w:rPr>
              <w:t>well-established data infrastructures or Cloud Platforms</w:t>
            </w:r>
            <w:r w:rsidR="00073C53" w:rsidRPr="003A2249">
              <w:rPr>
                <w:rFonts w:ascii="Arial" w:hAnsi="Arial" w:cs="Arial"/>
                <w:sz w:val="18"/>
                <w:szCs w:val="18"/>
                <w:lang w:val="en-US"/>
              </w:rPr>
              <w:t xml:space="preserve">. </w:t>
            </w:r>
          </w:p>
        </w:tc>
      </w:tr>
      <w:tr w:rsidR="00E30EED" w:rsidRPr="003A2249" w14:paraId="5F441263" w14:textId="77777777" w:rsidTr="001B3A40">
        <w:tc>
          <w:tcPr>
            <w:tcW w:w="1653" w:type="dxa"/>
          </w:tcPr>
          <w:p w14:paraId="1ED61886" w14:textId="77777777" w:rsidR="00E30EED" w:rsidRPr="003A2249" w:rsidRDefault="00E30EED" w:rsidP="00FD33D6">
            <w:pPr>
              <w:tabs>
                <w:tab w:val="left" w:pos="2126"/>
              </w:tabs>
              <w:spacing w:beforeLines="60" w:before="144" w:afterLines="60" w:after="144" w:line="240" w:lineRule="atLeast"/>
              <w:rPr>
                <w:rFonts w:ascii="Arial" w:hAnsi="Arial"/>
                <w:color w:val="005A8C"/>
                <w:sz w:val="18"/>
                <w:lang w:val="en-US"/>
              </w:rPr>
            </w:pPr>
            <w:r w:rsidRPr="003A2249">
              <w:rPr>
                <w:rFonts w:ascii="Arial" w:hAnsi="Arial"/>
                <w:color w:val="005A8C"/>
                <w:sz w:val="18"/>
                <w:lang w:val="en-US"/>
              </w:rPr>
              <w:t>Timeframe</w:t>
            </w:r>
          </w:p>
        </w:tc>
        <w:tc>
          <w:tcPr>
            <w:tcW w:w="8004" w:type="dxa"/>
            <w:gridSpan w:val="3"/>
          </w:tcPr>
          <w:p w14:paraId="1677846E" w14:textId="77777777" w:rsidR="00E30EED" w:rsidRPr="003A2249" w:rsidRDefault="00E30EED" w:rsidP="00FD33D6">
            <w:pPr>
              <w:tabs>
                <w:tab w:val="left" w:pos="2126"/>
              </w:tabs>
              <w:spacing w:beforeLines="60" w:before="144" w:afterLines="60" w:after="144" w:line="240" w:lineRule="atLeast"/>
              <w:rPr>
                <w:rFonts w:ascii="Arial" w:hAnsi="Arial" w:cs="Arial"/>
                <w:b/>
                <w:sz w:val="18"/>
                <w:szCs w:val="18"/>
                <w:lang w:val="en-US"/>
              </w:rPr>
            </w:pPr>
            <w:r w:rsidRPr="003A2249">
              <w:rPr>
                <w:rFonts w:ascii="Arial" w:hAnsi="Arial" w:cs="Arial"/>
                <w:b/>
                <w:sz w:val="18"/>
                <w:szCs w:val="18"/>
                <w:lang w:val="en-US"/>
              </w:rPr>
              <w:t>Current indicator timeframe considerations:</w:t>
            </w:r>
          </w:p>
          <w:p w14:paraId="022028D6" w14:textId="1F908275" w:rsidR="00E30EED" w:rsidRPr="003A2249" w:rsidRDefault="00620410" w:rsidP="00FD33D6">
            <w:pPr>
              <w:pStyle w:val="ListParagraph"/>
              <w:numPr>
                <w:ilvl w:val="0"/>
                <w:numId w:val="1"/>
              </w:num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 xml:space="preserve">According to the latest metadata </w:t>
            </w:r>
            <w:r w:rsidR="00EA587A" w:rsidRPr="003A2249">
              <w:rPr>
                <w:rFonts w:ascii="Arial" w:hAnsi="Arial" w:cs="Arial"/>
                <w:sz w:val="18"/>
                <w:szCs w:val="18"/>
                <w:lang w:val="en-US"/>
              </w:rPr>
              <w:t>I</w:t>
            </w:r>
            <w:r w:rsidR="00CB1749" w:rsidRPr="003A2249">
              <w:rPr>
                <w:rFonts w:ascii="Arial" w:hAnsi="Arial" w:cs="Arial"/>
                <w:sz w:val="18"/>
                <w:szCs w:val="18"/>
                <w:lang w:val="en-US"/>
              </w:rPr>
              <w:t xml:space="preserve">t is anticipated that countries can report consistently after </w:t>
            </w:r>
            <w:r w:rsidR="00EA587A" w:rsidRPr="003A2249">
              <w:rPr>
                <w:rFonts w:ascii="Arial" w:hAnsi="Arial" w:cs="Arial"/>
                <w:sz w:val="18"/>
                <w:szCs w:val="18"/>
                <w:lang w:val="en-US"/>
              </w:rPr>
              <w:t>2-3</w:t>
            </w:r>
            <w:r w:rsidR="00CB1749" w:rsidRPr="003A2249">
              <w:rPr>
                <w:rFonts w:ascii="Arial" w:hAnsi="Arial" w:cs="Arial"/>
                <w:sz w:val="18"/>
                <w:szCs w:val="18"/>
                <w:lang w:val="en-US"/>
              </w:rPr>
              <w:t xml:space="preserve"> years</w:t>
            </w:r>
            <w:r w:rsidR="00EA587A" w:rsidRPr="003A2249">
              <w:rPr>
                <w:rFonts w:ascii="Arial" w:hAnsi="Arial" w:cs="Arial"/>
                <w:sz w:val="18"/>
                <w:szCs w:val="18"/>
                <w:lang w:val="en-US"/>
              </w:rPr>
              <w:t xml:space="preserve"> </w:t>
            </w:r>
            <w:r w:rsidR="00D4239E" w:rsidRPr="003A2249">
              <w:rPr>
                <w:rFonts w:ascii="Arial" w:hAnsi="Arial" w:cs="Arial"/>
                <w:sz w:val="18"/>
                <w:szCs w:val="18"/>
                <w:lang w:val="en-US"/>
              </w:rPr>
              <w:t>(</w:t>
            </w:r>
            <w:r w:rsidR="00EA587A" w:rsidRPr="003A2249">
              <w:rPr>
                <w:rFonts w:ascii="Arial" w:hAnsi="Arial" w:cs="Arial"/>
                <w:sz w:val="18"/>
                <w:szCs w:val="18"/>
                <w:lang w:val="en-US"/>
              </w:rPr>
              <w:t>relative to 2018</w:t>
            </w:r>
            <w:r w:rsidR="00D4239E" w:rsidRPr="003A2249">
              <w:rPr>
                <w:rFonts w:ascii="Arial" w:hAnsi="Arial" w:cs="Arial"/>
                <w:sz w:val="18"/>
                <w:szCs w:val="18"/>
                <w:lang w:val="en-US"/>
              </w:rPr>
              <w:t>)</w:t>
            </w:r>
            <w:r w:rsidR="00CB1749" w:rsidRPr="003A2249">
              <w:rPr>
                <w:rFonts w:ascii="Arial" w:hAnsi="Arial" w:cs="Arial"/>
                <w:sz w:val="18"/>
                <w:szCs w:val="18"/>
                <w:lang w:val="en-US"/>
              </w:rPr>
              <w:t xml:space="preserve"> </w:t>
            </w:r>
            <w:r w:rsidRPr="003A2249">
              <w:rPr>
                <w:rFonts w:ascii="Arial" w:hAnsi="Arial" w:cs="Arial"/>
                <w:sz w:val="18"/>
                <w:szCs w:val="18"/>
                <w:lang w:val="en-US"/>
              </w:rPr>
              <w:t>and h</w:t>
            </w:r>
            <w:r w:rsidR="00CB1749" w:rsidRPr="003A2249">
              <w:rPr>
                <w:rFonts w:ascii="Arial" w:hAnsi="Arial" w:cs="Arial"/>
                <w:sz w:val="18"/>
                <w:szCs w:val="18"/>
                <w:lang w:val="en-US"/>
              </w:rPr>
              <w:t>ereafter</w:t>
            </w:r>
            <w:r w:rsidRPr="003A2249">
              <w:rPr>
                <w:rFonts w:ascii="Arial" w:hAnsi="Arial" w:cs="Arial"/>
                <w:sz w:val="18"/>
                <w:szCs w:val="18"/>
                <w:lang w:val="en-US"/>
              </w:rPr>
              <w:t xml:space="preserve"> </w:t>
            </w:r>
            <w:r w:rsidR="00CB1749" w:rsidRPr="003A2249">
              <w:rPr>
                <w:rFonts w:ascii="Arial" w:hAnsi="Arial" w:cs="Arial"/>
                <w:sz w:val="18"/>
                <w:szCs w:val="18"/>
                <w:lang w:val="en-US"/>
              </w:rPr>
              <w:t>repeated regularly in 5-year intervals, allowing for three reporting points until the year 2030</w:t>
            </w:r>
            <w:r w:rsidR="00E30EED" w:rsidRPr="003A2249">
              <w:rPr>
                <w:rFonts w:ascii="Arial" w:hAnsi="Arial" w:cs="Arial"/>
                <w:sz w:val="18"/>
                <w:szCs w:val="18"/>
                <w:lang w:val="en-US"/>
              </w:rPr>
              <w:t xml:space="preserve">.  </w:t>
            </w:r>
          </w:p>
          <w:p w14:paraId="26CB480D" w14:textId="77777777" w:rsidR="00E30EED" w:rsidRPr="003A2249" w:rsidRDefault="00E30EED" w:rsidP="00FD33D6">
            <w:pPr>
              <w:tabs>
                <w:tab w:val="left" w:pos="2126"/>
              </w:tabs>
              <w:spacing w:beforeLines="60" w:before="144" w:afterLines="60" w:after="144" w:line="240" w:lineRule="atLeast"/>
              <w:rPr>
                <w:rFonts w:ascii="Arial" w:hAnsi="Arial" w:cs="Arial"/>
                <w:b/>
                <w:sz w:val="18"/>
                <w:szCs w:val="18"/>
                <w:lang w:val="en-US"/>
              </w:rPr>
            </w:pPr>
            <w:r w:rsidRPr="003A2249">
              <w:rPr>
                <w:rFonts w:ascii="Arial" w:hAnsi="Arial" w:cs="Arial"/>
                <w:b/>
                <w:sz w:val="18"/>
                <w:szCs w:val="18"/>
                <w:lang w:val="en-US"/>
              </w:rPr>
              <w:t xml:space="preserve">Tentative timeframe considerations for ESA initiative: </w:t>
            </w:r>
          </w:p>
          <w:p w14:paraId="5F97D7F1" w14:textId="45E527C9" w:rsidR="00E30EED" w:rsidRPr="003A2249" w:rsidRDefault="00E30EED" w:rsidP="00FD33D6">
            <w:pPr>
              <w:pStyle w:val="ListParagraph"/>
              <w:numPr>
                <w:ilvl w:val="0"/>
                <w:numId w:val="2"/>
              </w:num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Technology is mature and EO services already established</w:t>
            </w:r>
            <w:r w:rsidR="00B2260C" w:rsidRPr="003A2249">
              <w:rPr>
                <w:rFonts w:ascii="Arial" w:hAnsi="Arial" w:cs="Arial"/>
                <w:sz w:val="18"/>
                <w:szCs w:val="18"/>
                <w:lang w:val="en-US"/>
              </w:rPr>
              <w:t xml:space="preserve"> and ready to be demonstrated</w:t>
            </w:r>
            <w:r w:rsidRPr="003A2249">
              <w:rPr>
                <w:rFonts w:ascii="Arial" w:hAnsi="Arial" w:cs="Arial"/>
                <w:sz w:val="18"/>
                <w:szCs w:val="18"/>
                <w:lang w:val="en-US"/>
              </w:rPr>
              <w:t>.</w:t>
            </w:r>
          </w:p>
        </w:tc>
      </w:tr>
      <w:tr w:rsidR="00E30EED" w:rsidRPr="00626608" w14:paraId="7527E26E" w14:textId="77777777" w:rsidTr="001B3A40">
        <w:tc>
          <w:tcPr>
            <w:tcW w:w="1653" w:type="dxa"/>
            <w:shd w:val="clear" w:color="auto" w:fill="D9D9D9"/>
          </w:tcPr>
          <w:p w14:paraId="62328BAF" w14:textId="77777777" w:rsidR="00E30EED" w:rsidRPr="003A2249" w:rsidRDefault="00E30EED" w:rsidP="00FD33D6">
            <w:pPr>
              <w:tabs>
                <w:tab w:val="left" w:pos="2126"/>
              </w:tabs>
              <w:spacing w:beforeLines="60" w:before="144" w:afterLines="60" w:after="144" w:line="240" w:lineRule="atLeast"/>
              <w:rPr>
                <w:rFonts w:ascii="Arial" w:hAnsi="Arial"/>
                <w:b/>
                <w:color w:val="005A8C"/>
                <w:sz w:val="18"/>
                <w:lang w:val="en-US"/>
              </w:rPr>
            </w:pPr>
            <w:r w:rsidRPr="003A2249">
              <w:rPr>
                <w:rFonts w:ascii="Arial" w:hAnsi="Arial"/>
                <w:b/>
                <w:color w:val="005A8C"/>
                <w:sz w:val="18"/>
                <w:lang w:val="en-US"/>
              </w:rPr>
              <w:t>References</w:t>
            </w:r>
          </w:p>
        </w:tc>
        <w:tc>
          <w:tcPr>
            <w:tcW w:w="8004" w:type="dxa"/>
            <w:gridSpan w:val="3"/>
          </w:tcPr>
          <w:p w14:paraId="4825952F" w14:textId="77777777" w:rsidR="00E30EED" w:rsidRPr="003A2249" w:rsidRDefault="00E30EED" w:rsidP="00FD33D6">
            <w:pPr>
              <w:tabs>
                <w:tab w:val="left" w:pos="2126"/>
              </w:tabs>
              <w:spacing w:beforeLines="60" w:before="144" w:afterLines="60" w:after="144" w:line="240" w:lineRule="atLeast"/>
              <w:rPr>
                <w:rFonts w:ascii="Arial" w:hAnsi="Arial" w:cs="Arial"/>
                <w:b/>
                <w:sz w:val="18"/>
                <w:szCs w:val="18"/>
                <w:lang w:val="en-US"/>
              </w:rPr>
            </w:pPr>
            <w:r w:rsidRPr="003A2249">
              <w:rPr>
                <w:rFonts w:ascii="Arial" w:hAnsi="Arial" w:cs="Arial"/>
                <w:b/>
                <w:sz w:val="18"/>
                <w:szCs w:val="18"/>
                <w:lang w:val="en-US"/>
              </w:rPr>
              <w:t>Indicator background</w:t>
            </w:r>
          </w:p>
          <w:p w14:paraId="77B0120D" w14:textId="685017CD" w:rsidR="00E30EED" w:rsidRPr="003A2249" w:rsidRDefault="005C3951" w:rsidP="00FD33D6">
            <w:pPr>
              <w:pStyle w:val="ListParagraph"/>
              <w:numPr>
                <w:ilvl w:val="0"/>
                <w:numId w:val="1"/>
              </w:numPr>
              <w:tabs>
                <w:tab w:val="left" w:pos="2126"/>
              </w:tabs>
              <w:spacing w:beforeLines="60" w:before="144" w:afterLines="60" w:after="144" w:line="240" w:lineRule="atLeast"/>
              <w:rPr>
                <w:rStyle w:val="Hyperlink"/>
                <w:rFonts w:ascii="Arial" w:hAnsi="Arial" w:cs="Arial"/>
                <w:color w:val="auto"/>
                <w:sz w:val="18"/>
                <w:szCs w:val="18"/>
                <w:u w:val="none"/>
                <w:lang w:val="en-US"/>
              </w:rPr>
            </w:pPr>
            <w:r w:rsidRPr="003A2249">
              <w:rPr>
                <w:rFonts w:ascii="Arial" w:hAnsi="Arial" w:cs="Arial"/>
                <w:sz w:val="18"/>
                <w:szCs w:val="18"/>
                <w:lang w:val="en-US"/>
              </w:rPr>
              <w:t xml:space="preserve">Indicator </w:t>
            </w:r>
            <w:r w:rsidR="00E30EED" w:rsidRPr="003A2249">
              <w:rPr>
                <w:rFonts w:ascii="Arial" w:hAnsi="Arial" w:cs="Arial"/>
                <w:sz w:val="18"/>
                <w:szCs w:val="18"/>
                <w:lang w:val="en-US"/>
              </w:rPr>
              <w:t xml:space="preserve">11.3.1 </w:t>
            </w:r>
            <w:r w:rsidR="007D1921" w:rsidRPr="003A2249">
              <w:rPr>
                <w:rFonts w:ascii="Arial" w:hAnsi="Arial" w:cs="Arial"/>
                <w:sz w:val="18"/>
                <w:szCs w:val="18"/>
                <w:lang w:val="en-US"/>
              </w:rPr>
              <w:t>M</w:t>
            </w:r>
            <w:r w:rsidR="00E30EED" w:rsidRPr="003A2249">
              <w:rPr>
                <w:rFonts w:ascii="Arial" w:hAnsi="Arial" w:cs="Arial"/>
                <w:sz w:val="18"/>
                <w:szCs w:val="18"/>
                <w:lang w:val="en-US"/>
              </w:rPr>
              <w:t>etadata (Ma</w:t>
            </w:r>
            <w:r w:rsidR="00EC0045" w:rsidRPr="003A2249">
              <w:rPr>
                <w:rFonts w:ascii="Arial" w:hAnsi="Arial" w:cs="Arial"/>
                <w:sz w:val="18"/>
                <w:szCs w:val="18"/>
                <w:lang w:val="en-US"/>
              </w:rPr>
              <w:t>rch</w:t>
            </w:r>
            <w:r w:rsidR="00E30EED" w:rsidRPr="003A2249">
              <w:rPr>
                <w:rFonts w:ascii="Arial" w:hAnsi="Arial" w:cs="Arial"/>
                <w:sz w:val="18"/>
                <w:szCs w:val="18"/>
                <w:lang w:val="en-US"/>
              </w:rPr>
              <w:t xml:space="preserve"> 201</w:t>
            </w:r>
            <w:r w:rsidR="00EC0045" w:rsidRPr="003A2249">
              <w:rPr>
                <w:rFonts w:ascii="Arial" w:hAnsi="Arial" w:cs="Arial"/>
                <w:sz w:val="18"/>
                <w:szCs w:val="18"/>
                <w:lang w:val="en-US"/>
              </w:rPr>
              <w:t>8</w:t>
            </w:r>
            <w:r w:rsidR="00E30EED" w:rsidRPr="003A2249">
              <w:rPr>
                <w:rFonts w:ascii="Arial" w:hAnsi="Arial" w:cs="Arial"/>
                <w:sz w:val="18"/>
                <w:szCs w:val="18"/>
                <w:lang w:val="en-US"/>
              </w:rPr>
              <w:t xml:space="preserve">): </w:t>
            </w:r>
            <w:hyperlink r:id="rId32" w:history="1">
              <w:r w:rsidR="009E0260" w:rsidRPr="003A2249">
                <w:rPr>
                  <w:rStyle w:val="Hyperlink"/>
                  <w:rFonts w:ascii="Arial" w:hAnsi="Arial" w:cs="Arial"/>
                  <w:sz w:val="18"/>
                  <w:szCs w:val="18"/>
                  <w:lang w:val="en-US"/>
                </w:rPr>
                <w:t>https://unhabitat.org/wp-content/uploads/2019/04/Metadata-on-SDG-Indicator-11.3.1.pdf</w:t>
              </w:r>
            </w:hyperlink>
          </w:p>
          <w:p w14:paraId="6D6C597D" w14:textId="785B2650" w:rsidR="009E0260" w:rsidRPr="003A2249" w:rsidRDefault="005C3951" w:rsidP="00FD33D6">
            <w:pPr>
              <w:pStyle w:val="ListParagraph"/>
              <w:numPr>
                <w:ilvl w:val="0"/>
                <w:numId w:val="1"/>
              </w:num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 xml:space="preserve">Indicator 11.3.1 Training Module: Land Consumption (Jan 2019): </w:t>
            </w:r>
            <w:r w:rsidR="00257016" w:rsidRPr="003A2249">
              <w:rPr>
                <w:rFonts w:ascii="Arial" w:hAnsi="Arial" w:cs="Arial"/>
                <w:sz w:val="18"/>
                <w:szCs w:val="18"/>
                <w:lang w:val="en-US"/>
              </w:rPr>
              <w:t xml:space="preserve">: </w:t>
            </w:r>
            <w:hyperlink r:id="rId33" w:history="1">
              <w:r w:rsidR="00257016" w:rsidRPr="003A2249">
                <w:rPr>
                  <w:rStyle w:val="Hyperlink"/>
                  <w:rFonts w:ascii="Arial" w:hAnsi="Arial" w:cs="Arial"/>
                  <w:sz w:val="18"/>
                  <w:szCs w:val="18"/>
                  <w:lang w:val="en-US"/>
                </w:rPr>
                <w:t>https://unhabitat.org/wp-content/uploads/2019/02/Indicator-11.3.1-Training-Module_Land-Consumption_Jan-2019.pdf</w:t>
              </w:r>
            </w:hyperlink>
            <w:r w:rsidR="00257016" w:rsidRPr="003A2249">
              <w:rPr>
                <w:rFonts w:ascii="Arial" w:hAnsi="Arial" w:cs="Arial"/>
                <w:sz w:val="18"/>
                <w:szCs w:val="18"/>
                <w:lang w:val="en-US"/>
              </w:rPr>
              <w:t xml:space="preserve"> </w:t>
            </w:r>
          </w:p>
          <w:p w14:paraId="38B17F2C" w14:textId="4543FC10" w:rsidR="00E30EED" w:rsidRPr="003A2249" w:rsidRDefault="005B4F5C" w:rsidP="00FD33D6">
            <w:pPr>
              <w:pStyle w:val="ListParagraph"/>
              <w:numPr>
                <w:ilvl w:val="0"/>
                <w:numId w:val="1"/>
              </w:num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Indicators and a Monitoring Framework</w:t>
            </w:r>
            <w:r w:rsidR="00717757" w:rsidRPr="003A2249">
              <w:rPr>
                <w:rFonts w:ascii="Arial" w:hAnsi="Arial" w:cs="Arial"/>
                <w:sz w:val="18"/>
                <w:szCs w:val="18"/>
                <w:lang w:val="en-US"/>
              </w:rPr>
              <w:t xml:space="preserve">: Launching a data revolution for the Sustainable Development Goals: </w:t>
            </w:r>
            <w:hyperlink r:id="rId34" w:history="1">
              <w:r w:rsidR="00717757" w:rsidRPr="003A2249">
                <w:rPr>
                  <w:rStyle w:val="Hyperlink"/>
                  <w:rFonts w:ascii="Arial" w:hAnsi="Arial" w:cs="Arial"/>
                  <w:sz w:val="18"/>
                  <w:szCs w:val="18"/>
                  <w:lang w:val="en-US"/>
                </w:rPr>
                <w:t>http://indicators.report/indicators/i-68/</w:t>
              </w:r>
            </w:hyperlink>
            <w:r w:rsidR="00717757" w:rsidRPr="003A2249">
              <w:rPr>
                <w:rFonts w:ascii="Arial" w:hAnsi="Arial" w:cs="Arial"/>
                <w:sz w:val="18"/>
                <w:szCs w:val="18"/>
                <w:lang w:val="en-US"/>
              </w:rPr>
              <w:t xml:space="preserve"> </w:t>
            </w:r>
          </w:p>
          <w:p w14:paraId="2480E48C" w14:textId="3BB35258" w:rsidR="00E30EED" w:rsidRPr="003A2249" w:rsidRDefault="00E30EED" w:rsidP="00826B2E">
            <w:pPr>
              <w:pStyle w:val="ListParagraph"/>
              <w:numPr>
                <w:ilvl w:val="0"/>
                <w:numId w:val="1"/>
              </w:numPr>
              <w:tabs>
                <w:tab w:val="left" w:pos="2126"/>
              </w:tabs>
              <w:spacing w:beforeLines="60" w:before="144" w:afterLines="60" w:after="144" w:line="240" w:lineRule="atLeast"/>
              <w:rPr>
                <w:rFonts w:ascii="Arial" w:hAnsi="Arial" w:cs="Arial"/>
                <w:sz w:val="18"/>
                <w:szCs w:val="18"/>
                <w:lang w:val="en-US"/>
              </w:rPr>
            </w:pPr>
            <w:r w:rsidRPr="003A2249">
              <w:rPr>
                <w:rFonts w:ascii="Arial" w:hAnsi="Arial" w:cs="Arial"/>
                <w:sz w:val="18"/>
                <w:szCs w:val="18"/>
                <w:lang w:val="en-US"/>
              </w:rPr>
              <w:t xml:space="preserve">2016 Atlas of urban expansion report </w:t>
            </w:r>
            <w:hyperlink r:id="rId35" w:history="1">
              <w:r w:rsidRPr="003A2249">
                <w:rPr>
                  <w:rStyle w:val="Hyperlink"/>
                  <w:rFonts w:ascii="Arial" w:hAnsi="Arial" w:cs="Arial"/>
                  <w:sz w:val="18"/>
                  <w:szCs w:val="18"/>
                  <w:lang w:val="en-US"/>
                </w:rPr>
                <w:t>https://www.lincolninst.edu/sites/default/files/pubfiles/atlas-of-urban-expansion-2016-volume-1-full.pdf</w:t>
              </w:r>
            </w:hyperlink>
            <w:r w:rsidRPr="003A2249">
              <w:rPr>
                <w:rFonts w:ascii="Arial" w:hAnsi="Arial" w:cs="Arial"/>
                <w:sz w:val="18"/>
                <w:szCs w:val="18"/>
                <w:lang w:val="en-US"/>
              </w:rPr>
              <w:t xml:space="preserve"> </w:t>
            </w:r>
          </w:p>
          <w:p w14:paraId="102247B5" w14:textId="77777777" w:rsidR="00FE2D85" w:rsidRPr="003A2249" w:rsidRDefault="00FE2D85" w:rsidP="00FD33D6">
            <w:pPr>
              <w:tabs>
                <w:tab w:val="left" w:pos="2126"/>
              </w:tabs>
              <w:spacing w:beforeLines="60" w:before="144" w:afterLines="60" w:after="144" w:line="240" w:lineRule="atLeast"/>
              <w:rPr>
                <w:rFonts w:ascii="Arial" w:hAnsi="Arial" w:cs="Arial"/>
                <w:b/>
                <w:sz w:val="18"/>
                <w:szCs w:val="18"/>
                <w:lang w:val="en-US"/>
              </w:rPr>
            </w:pPr>
          </w:p>
          <w:p w14:paraId="7FCCA433" w14:textId="7E6F5524" w:rsidR="00E30EED" w:rsidRPr="003A2249" w:rsidRDefault="00C17B0E" w:rsidP="00FD33D6">
            <w:pPr>
              <w:tabs>
                <w:tab w:val="left" w:pos="2126"/>
              </w:tabs>
              <w:spacing w:beforeLines="60" w:before="144" w:afterLines="60" w:after="144" w:line="240" w:lineRule="atLeast"/>
              <w:rPr>
                <w:rFonts w:ascii="Arial" w:hAnsi="Arial" w:cs="Arial"/>
                <w:b/>
                <w:sz w:val="18"/>
                <w:szCs w:val="18"/>
                <w:lang w:val="en-US"/>
              </w:rPr>
            </w:pPr>
            <w:r w:rsidRPr="003A2249">
              <w:rPr>
                <w:rFonts w:ascii="Arial" w:hAnsi="Arial" w:cs="Arial"/>
                <w:b/>
                <w:sz w:val="18"/>
                <w:szCs w:val="18"/>
                <w:lang w:val="en-US"/>
              </w:rPr>
              <w:t>P</w:t>
            </w:r>
            <w:r w:rsidR="00E30EED" w:rsidRPr="003A2249">
              <w:rPr>
                <w:rFonts w:ascii="Arial" w:hAnsi="Arial" w:cs="Arial"/>
                <w:b/>
                <w:sz w:val="18"/>
                <w:szCs w:val="18"/>
                <w:lang w:val="en-US"/>
              </w:rPr>
              <w:t>ublications</w:t>
            </w:r>
          </w:p>
          <w:p w14:paraId="3ABE9739" w14:textId="31135B19" w:rsidR="00826B2E" w:rsidRPr="003A2249" w:rsidRDefault="00826B2E" w:rsidP="005A3691">
            <w:pPr>
              <w:pStyle w:val="ListParagraph"/>
              <w:numPr>
                <w:ilvl w:val="0"/>
                <w:numId w:val="1"/>
              </w:numPr>
              <w:tabs>
                <w:tab w:val="left" w:pos="2126"/>
              </w:tabs>
              <w:spacing w:beforeLines="60" w:before="144" w:afterLines="60" w:after="144" w:line="240" w:lineRule="atLeast"/>
              <w:rPr>
                <w:rFonts w:ascii="Arial" w:hAnsi="Arial" w:cs="Arial"/>
                <w:sz w:val="18"/>
                <w:szCs w:val="18"/>
                <w:lang w:val="en-US"/>
              </w:rPr>
            </w:pPr>
            <w:proofErr w:type="spellStart"/>
            <w:r w:rsidRPr="003A2249">
              <w:rPr>
                <w:rFonts w:ascii="Arial" w:hAnsi="Arial" w:cs="Arial"/>
                <w:sz w:val="18"/>
                <w:szCs w:val="18"/>
                <w:lang w:val="en-US"/>
              </w:rPr>
              <w:t>Corbane</w:t>
            </w:r>
            <w:proofErr w:type="spellEnd"/>
            <w:r w:rsidRPr="003A2249">
              <w:rPr>
                <w:rFonts w:ascii="Arial" w:hAnsi="Arial" w:cs="Arial"/>
                <w:sz w:val="18"/>
                <w:szCs w:val="18"/>
                <w:lang w:val="en-US"/>
              </w:rPr>
              <w:t xml:space="preserve">, C., </w:t>
            </w:r>
            <w:proofErr w:type="spellStart"/>
            <w:r w:rsidRPr="003A2249">
              <w:rPr>
                <w:rFonts w:ascii="Arial" w:hAnsi="Arial" w:cs="Arial"/>
                <w:sz w:val="18"/>
                <w:szCs w:val="18"/>
                <w:lang w:val="en-US"/>
              </w:rPr>
              <w:t>Politis</w:t>
            </w:r>
            <w:proofErr w:type="spellEnd"/>
            <w:r w:rsidRPr="003A2249">
              <w:rPr>
                <w:rFonts w:ascii="Arial" w:hAnsi="Arial" w:cs="Arial"/>
                <w:sz w:val="18"/>
                <w:szCs w:val="18"/>
                <w:lang w:val="en-US"/>
              </w:rPr>
              <w:t xml:space="preserve">, P., Siragusa, A., Kemper, T. and </w:t>
            </w:r>
            <w:proofErr w:type="spellStart"/>
            <w:r w:rsidRPr="003A2249">
              <w:rPr>
                <w:rFonts w:ascii="Arial" w:hAnsi="Arial" w:cs="Arial"/>
                <w:sz w:val="18"/>
                <w:szCs w:val="18"/>
                <w:lang w:val="en-US"/>
              </w:rPr>
              <w:t>Pesaresi</w:t>
            </w:r>
            <w:proofErr w:type="spellEnd"/>
            <w:r w:rsidRPr="003A2249">
              <w:rPr>
                <w:rFonts w:ascii="Arial" w:hAnsi="Arial" w:cs="Arial"/>
                <w:sz w:val="18"/>
                <w:szCs w:val="18"/>
                <w:lang w:val="en-US"/>
              </w:rPr>
              <w:t>, M., LUE User Guide: A tool to calculate the Land Use Efficiency and the SDG 11.3 indicator with the Global Human Settlement Layer, Publications Office of the European Union, Luxembourg, 2017, ISBN 978-92-79-73631-5 (print); 978-92-79- 73630-8 (pdf), doi:10.2760/16919 (print), 10.2760/212689 (pdf), JRC108026</w:t>
            </w:r>
          </w:p>
          <w:p w14:paraId="1DBF3360" w14:textId="53107E00" w:rsidR="005A3691" w:rsidRPr="003A2249" w:rsidRDefault="005A3691" w:rsidP="005A3691">
            <w:pPr>
              <w:pStyle w:val="ListParagraph"/>
              <w:numPr>
                <w:ilvl w:val="0"/>
                <w:numId w:val="1"/>
              </w:numPr>
              <w:tabs>
                <w:tab w:val="left" w:pos="2126"/>
              </w:tabs>
              <w:spacing w:beforeLines="60" w:before="144" w:afterLines="60" w:after="144" w:line="240" w:lineRule="atLeast"/>
              <w:rPr>
                <w:rFonts w:ascii="Arial" w:hAnsi="Arial" w:cs="Arial"/>
                <w:sz w:val="18"/>
                <w:szCs w:val="18"/>
                <w:lang w:val="en-US"/>
              </w:rPr>
            </w:pPr>
            <w:proofErr w:type="spellStart"/>
            <w:r w:rsidRPr="003A2249">
              <w:rPr>
                <w:rFonts w:ascii="Arial" w:hAnsi="Arial" w:cs="Arial"/>
                <w:sz w:val="18"/>
                <w:szCs w:val="18"/>
                <w:lang w:val="en-US"/>
              </w:rPr>
              <w:t>Esch</w:t>
            </w:r>
            <w:proofErr w:type="spellEnd"/>
            <w:r w:rsidRPr="003A2249">
              <w:rPr>
                <w:rFonts w:ascii="Arial" w:hAnsi="Arial" w:cs="Arial"/>
                <w:sz w:val="18"/>
                <w:szCs w:val="18"/>
                <w:lang w:val="en-US"/>
              </w:rPr>
              <w:t xml:space="preserve">, T., </w:t>
            </w:r>
            <w:proofErr w:type="spellStart"/>
            <w:r w:rsidRPr="003A2249">
              <w:rPr>
                <w:rFonts w:ascii="Arial" w:hAnsi="Arial" w:cs="Arial"/>
                <w:sz w:val="18"/>
                <w:szCs w:val="18"/>
                <w:lang w:val="en-US"/>
              </w:rPr>
              <w:t>Bachofer</w:t>
            </w:r>
            <w:proofErr w:type="spellEnd"/>
            <w:r w:rsidRPr="003A2249">
              <w:rPr>
                <w:rFonts w:ascii="Arial" w:hAnsi="Arial" w:cs="Arial"/>
                <w:sz w:val="18"/>
                <w:szCs w:val="18"/>
                <w:lang w:val="en-US"/>
              </w:rPr>
              <w:t xml:space="preserve">, F., </w:t>
            </w:r>
            <w:proofErr w:type="spellStart"/>
            <w:r w:rsidRPr="003A2249">
              <w:rPr>
                <w:rFonts w:ascii="Arial" w:hAnsi="Arial" w:cs="Arial"/>
                <w:sz w:val="18"/>
                <w:szCs w:val="18"/>
                <w:lang w:val="en-US"/>
              </w:rPr>
              <w:t>Heldens</w:t>
            </w:r>
            <w:proofErr w:type="spellEnd"/>
            <w:r w:rsidRPr="003A2249">
              <w:rPr>
                <w:rFonts w:ascii="Arial" w:hAnsi="Arial" w:cs="Arial"/>
                <w:sz w:val="18"/>
                <w:szCs w:val="18"/>
                <w:lang w:val="en-US"/>
              </w:rPr>
              <w:t xml:space="preserve">, W., </w:t>
            </w:r>
            <w:proofErr w:type="spellStart"/>
            <w:r w:rsidRPr="003A2249">
              <w:rPr>
                <w:rFonts w:ascii="Arial" w:hAnsi="Arial" w:cs="Arial"/>
                <w:sz w:val="18"/>
                <w:szCs w:val="18"/>
                <w:lang w:val="en-US"/>
              </w:rPr>
              <w:t>Hirner</w:t>
            </w:r>
            <w:proofErr w:type="spellEnd"/>
            <w:r w:rsidRPr="003A2249">
              <w:rPr>
                <w:rFonts w:ascii="Arial" w:hAnsi="Arial" w:cs="Arial"/>
                <w:sz w:val="18"/>
                <w:szCs w:val="18"/>
                <w:lang w:val="en-US"/>
              </w:rPr>
              <w:t xml:space="preserve">, A., </w:t>
            </w:r>
            <w:proofErr w:type="spellStart"/>
            <w:r w:rsidRPr="003A2249">
              <w:rPr>
                <w:rFonts w:ascii="Arial" w:hAnsi="Arial" w:cs="Arial"/>
                <w:sz w:val="18"/>
                <w:szCs w:val="18"/>
                <w:lang w:val="en-US"/>
              </w:rPr>
              <w:t>Marconcini</w:t>
            </w:r>
            <w:proofErr w:type="spellEnd"/>
            <w:r w:rsidRPr="003A2249">
              <w:rPr>
                <w:rFonts w:ascii="Arial" w:hAnsi="Arial" w:cs="Arial"/>
                <w:sz w:val="18"/>
                <w:szCs w:val="18"/>
                <w:lang w:val="en-US"/>
              </w:rPr>
              <w:t>, M., Palacios-Lopez, D., ... &amp; Gorelick, N. (2018). Where we live—A summary of the achievements and planned evolution of the global urban footprint. Remote Sensing, 10(6), 895.</w:t>
            </w:r>
          </w:p>
          <w:p w14:paraId="4B9B83E8" w14:textId="28203DD0" w:rsidR="00C17B0E" w:rsidRPr="003A2249" w:rsidRDefault="00C17B0E" w:rsidP="005A3691">
            <w:pPr>
              <w:pStyle w:val="ListParagraph"/>
              <w:numPr>
                <w:ilvl w:val="0"/>
                <w:numId w:val="1"/>
              </w:numPr>
              <w:tabs>
                <w:tab w:val="left" w:pos="2126"/>
              </w:tabs>
              <w:spacing w:beforeLines="60" w:before="144" w:afterLines="60" w:after="144" w:line="240" w:lineRule="atLeast"/>
              <w:rPr>
                <w:rFonts w:ascii="Arial" w:hAnsi="Arial" w:cs="Arial"/>
                <w:sz w:val="18"/>
                <w:szCs w:val="18"/>
                <w:lang w:val="en-US"/>
              </w:rPr>
            </w:pPr>
            <w:proofErr w:type="spellStart"/>
            <w:r w:rsidRPr="003A2249">
              <w:rPr>
                <w:rFonts w:ascii="Arial" w:hAnsi="Arial" w:cs="Arial"/>
                <w:sz w:val="18"/>
                <w:szCs w:val="18"/>
                <w:lang w:val="en-US"/>
              </w:rPr>
              <w:t>Pesaresi</w:t>
            </w:r>
            <w:proofErr w:type="spellEnd"/>
            <w:r w:rsidRPr="003A2249">
              <w:rPr>
                <w:rFonts w:ascii="Arial" w:hAnsi="Arial" w:cs="Arial"/>
                <w:sz w:val="18"/>
                <w:szCs w:val="18"/>
                <w:lang w:val="en-US"/>
              </w:rPr>
              <w:t xml:space="preserve"> et al. 2016. Atlas of the Human Planet - Mapping Human Presence on Earth with the Global Human Settlement Layer </w:t>
            </w:r>
            <w:hyperlink r:id="rId36" w:history="1">
              <w:r w:rsidRPr="003A2249">
                <w:rPr>
                  <w:rStyle w:val="Hyperlink"/>
                  <w:rFonts w:ascii="Arial" w:hAnsi="Arial" w:cs="Arial"/>
                  <w:sz w:val="18"/>
                  <w:szCs w:val="18"/>
                  <w:lang w:val="en-US"/>
                </w:rPr>
                <w:t>https://ec.europa.eu/jrc/en/publication/eur-</w:t>
              </w:r>
              <w:r w:rsidRPr="003A2249">
                <w:rPr>
                  <w:rStyle w:val="Hyperlink"/>
                  <w:rFonts w:ascii="Arial" w:hAnsi="Arial" w:cs="Arial"/>
                  <w:sz w:val="18"/>
                  <w:szCs w:val="18"/>
                  <w:lang w:val="en-US"/>
                </w:rPr>
                <w:lastRenderedPageBreak/>
                <w:t>scientific-and-technical-research-reports/atlas-human-planet-mapping-human-presence-earth-global-human-settlement-layer</w:t>
              </w:r>
            </w:hyperlink>
          </w:p>
          <w:p w14:paraId="4A1D5720" w14:textId="77777777" w:rsidR="00E30EED" w:rsidRPr="003A2249" w:rsidRDefault="00E30EED" w:rsidP="00FD33D6">
            <w:pPr>
              <w:tabs>
                <w:tab w:val="left" w:pos="2126"/>
              </w:tabs>
              <w:spacing w:beforeLines="60" w:before="144" w:afterLines="60" w:after="144" w:line="240" w:lineRule="atLeast"/>
              <w:rPr>
                <w:rFonts w:ascii="Arial" w:hAnsi="Arial" w:cs="Arial"/>
                <w:b/>
                <w:sz w:val="18"/>
                <w:szCs w:val="18"/>
                <w:lang w:val="en-US"/>
              </w:rPr>
            </w:pPr>
            <w:r w:rsidRPr="003A2249">
              <w:rPr>
                <w:rFonts w:ascii="Arial" w:hAnsi="Arial" w:cs="Arial"/>
                <w:b/>
                <w:sz w:val="18"/>
                <w:szCs w:val="18"/>
                <w:lang w:val="en-US"/>
              </w:rPr>
              <w:t>EO technical sites</w:t>
            </w:r>
          </w:p>
          <w:p w14:paraId="0165FAA3" w14:textId="589EE9A8" w:rsidR="00B948D4" w:rsidRPr="003A2249" w:rsidRDefault="00B948D4" w:rsidP="00B948D4">
            <w:pPr>
              <w:pStyle w:val="CommentText"/>
              <w:numPr>
                <w:ilvl w:val="0"/>
                <w:numId w:val="1"/>
              </w:numPr>
              <w:spacing w:beforeLines="60" w:before="144" w:afterLines="60" w:after="144"/>
              <w:rPr>
                <w:rFonts w:ascii="Arial" w:hAnsi="Arial" w:cs="Arial"/>
                <w:sz w:val="18"/>
                <w:szCs w:val="18"/>
                <w:lang w:val="en-US"/>
              </w:rPr>
            </w:pPr>
            <w:r w:rsidRPr="003A2249">
              <w:rPr>
                <w:rFonts w:ascii="Arial" w:hAnsi="Arial" w:cs="Arial"/>
                <w:sz w:val="18"/>
                <w:szCs w:val="18"/>
                <w:lang w:val="en-US"/>
              </w:rPr>
              <w:t xml:space="preserve">Atlas of Urban Expansion: </w:t>
            </w:r>
            <w:hyperlink r:id="rId37" w:history="1">
              <w:r w:rsidRPr="003A2249">
                <w:rPr>
                  <w:rStyle w:val="Hyperlink"/>
                  <w:rFonts w:ascii="Arial" w:hAnsi="Arial" w:cs="Arial"/>
                  <w:sz w:val="18"/>
                  <w:szCs w:val="18"/>
                  <w:lang w:val="en-US"/>
                </w:rPr>
                <w:t>http://www.atlasofurbanexpansion.org/</w:t>
              </w:r>
            </w:hyperlink>
            <w:r w:rsidRPr="003A2249">
              <w:rPr>
                <w:rFonts w:ascii="Arial" w:hAnsi="Arial" w:cs="Arial"/>
                <w:sz w:val="18"/>
                <w:szCs w:val="18"/>
                <w:lang w:val="en-US"/>
              </w:rPr>
              <w:t xml:space="preserve">  </w:t>
            </w:r>
          </w:p>
          <w:p w14:paraId="217100C9" w14:textId="77777777" w:rsidR="00423E05" w:rsidRPr="003A2249" w:rsidRDefault="00423E05" w:rsidP="00423E05">
            <w:pPr>
              <w:pStyle w:val="CommentText"/>
              <w:numPr>
                <w:ilvl w:val="0"/>
                <w:numId w:val="1"/>
              </w:numPr>
              <w:spacing w:beforeLines="60" w:before="144" w:afterLines="60" w:after="144"/>
              <w:rPr>
                <w:rFonts w:ascii="Arial" w:hAnsi="Arial" w:cs="Arial"/>
                <w:sz w:val="18"/>
                <w:szCs w:val="18"/>
                <w:lang w:val="en-US"/>
              </w:rPr>
            </w:pPr>
            <w:r w:rsidRPr="003A2249">
              <w:rPr>
                <w:rFonts w:ascii="Arial" w:hAnsi="Arial" w:cs="Arial"/>
                <w:sz w:val="18"/>
                <w:szCs w:val="18"/>
                <w:lang w:val="en-US"/>
              </w:rPr>
              <w:t xml:space="preserve">Data and Information Access Services: </w:t>
            </w:r>
            <w:hyperlink r:id="rId38" w:history="1">
              <w:r w:rsidRPr="003A2249">
                <w:rPr>
                  <w:rStyle w:val="Hyperlink"/>
                  <w:lang w:val="en-US"/>
                </w:rPr>
                <w:t>https://www.copernicus.eu/en/access-data/dias</w:t>
              </w:r>
            </w:hyperlink>
          </w:p>
          <w:p w14:paraId="0737DBDD" w14:textId="77777777" w:rsidR="00423E05" w:rsidRPr="003A2249" w:rsidRDefault="00423E05" w:rsidP="00423E05">
            <w:pPr>
              <w:pStyle w:val="CommentText"/>
              <w:numPr>
                <w:ilvl w:val="0"/>
                <w:numId w:val="1"/>
              </w:numPr>
              <w:spacing w:beforeLines="60" w:before="144" w:afterLines="60" w:after="144"/>
              <w:rPr>
                <w:rFonts w:ascii="Arial" w:hAnsi="Arial" w:cs="Arial"/>
                <w:sz w:val="18"/>
                <w:szCs w:val="18"/>
                <w:lang w:val="en-US"/>
              </w:rPr>
            </w:pPr>
            <w:r w:rsidRPr="003A2249">
              <w:rPr>
                <w:rFonts w:ascii="Arial" w:hAnsi="Arial" w:cs="Arial"/>
                <w:sz w:val="18"/>
                <w:szCs w:val="18"/>
                <w:lang w:val="en-US"/>
              </w:rPr>
              <w:t xml:space="preserve">Earth Explorer: </w:t>
            </w:r>
            <w:hyperlink r:id="rId39" w:history="1">
              <w:r w:rsidRPr="003A2249">
                <w:rPr>
                  <w:rStyle w:val="Hyperlink"/>
                  <w:rFonts w:ascii="Arial" w:hAnsi="Arial" w:cs="Arial"/>
                  <w:sz w:val="18"/>
                  <w:szCs w:val="18"/>
                  <w:lang w:val="en-US"/>
                </w:rPr>
                <w:t>https://earthexplorer.usgs.gov/</w:t>
              </w:r>
            </w:hyperlink>
          </w:p>
          <w:p w14:paraId="5336D19E" w14:textId="02DCBD30" w:rsidR="00B948D4" w:rsidRPr="003A2249" w:rsidRDefault="00B948D4" w:rsidP="00B948D4">
            <w:pPr>
              <w:pStyle w:val="CommentText"/>
              <w:numPr>
                <w:ilvl w:val="0"/>
                <w:numId w:val="1"/>
              </w:numPr>
              <w:spacing w:beforeLines="60" w:before="144" w:afterLines="60" w:after="144"/>
              <w:rPr>
                <w:rFonts w:ascii="Arial" w:hAnsi="Arial" w:cs="Arial"/>
                <w:sz w:val="18"/>
                <w:szCs w:val="18"/>
                <w:lang w:val="en-US"/>
              </w:rPr>
            </w:pPr>
            <w:r w:rsidRPr="003A2249">
              <w:rPr>
                <w:rFonts w:ascii="Arial" w:hAnsi="Arial" w:cs="Arial"/>
                <w:sz w:val="18"/>
                <w:szCs w:val="18"/>
                <w:lang w:val="en-US"/>
              </w:rPr>
              <w:t xml:space="preserve">Global Human Settlement Built-up (GHS BU): </w:t>
            </w:r>
            <w:hyperlink r:id="rId40" w:history="1">
              <w:r w:rsidRPr="003A2249">
                <w:rPr>
                  <w:rStyle w:val="Hyperlink"/>
                  <w:rFonts w:ascii="Arial" w:hAnsi="Arial" w:cs="Arial"/>
                  <w:sz w:val="18"/>
                  <w:szCs w:val="18"/>
                  <w:lang w:val="en-US"/>
                </w:rPr>
                <w:t>https://ghsl.jrc.ec.europa.eu/data.php</w:t>
              </w:r>
            </w:hyperlink>
            <w:r w:rsidRPr="003A2249">
              <w:rPr>
                <w:rFonts w:ascii="Arial" w:hAnsi="Arial" w:cs="Arial"/>
                <w:sz w:val="18"/>
                <w:szCs w:val="18"/>
                <w:lang w:val="en-US"/>
              </w:rPr>
              <w:t xml:space="preserve">  </w:t>
            </w:r>
          </w:p>
          <w:p w14:paraId="404CFD2E" w14:textId="791C6B03" w:rsidR="00B948D4" w:rsidRPr="003A2249" w:rsidRDefault="00B948D4" w:rsidP="00B948D4">
            <w:pPr>
              <w:pStyle w:val="CommentText"/>
              <w:numPr>
                <w:ilvl w:val="0"/>
                <w:numId w:val="1"/>
              </w:numPr>
              <w:spacing w:beforeLines="60" w:before="144" w:afterLines="60" w:after="144"/>
              <w:rPr>
                <w:rFonts w:ascii="Arial" w:hAnsi="Arial" w:cs="Arial"/>
                <w:sz w:val="18"/>
                <w:szCs w:val="18"/>
                <w:lang w:val="en-US"/>
              </w:rPr>
            </w:pPr>
            <w:r w:rsidRPr="003A2249">
              <w:rPr>
                <w:rFonts w:ascii="Arial" w:hAnsi="Arial" w:cs="Arial"/>
                <w:sz w:val="18"/>
                <w:szCs w:val="18"/>
                <w:lang w:val="en-US"/>
              </w:rPr>
              <w:t xml:space="preserve">Global Human Settlement population (GHS-POP): </w:t>
            </w:r>
            <w:hyperlink r:id="rId41" w:history="1">
              <w:r w:rsidRPr="003A2249">
                <w:rPr>
                  <w:rStyle w:val="Hyperlink"/>
                  <w:rFonts w:ascii="Arial" w:hAnsi="Arial" w:cs="Arial"/>
                  <w:sz w:val="18"/>
                  <w:szCs w:val="18"/>
                  <w:lang w:val="en-US"/>
                </w:rPr>
                <w:t>https://ghsl.jrc.ec.europa.eu/data.php</w:t>
              </w:r>
            </w:hyperlink>
            <w:r w:rsidRPr="003A2249">
              <w:rPr>
                <w:rFonts w:ascii="Arial" w:hAnsi="Arial" w:cs="Arial"/>
                <w:sz w:val="18"/>
                <w:szCs w:val="18"/>
                <w:lang w:val="en-US"/>
              </w:rPr>
              <w:t xml:space="preserve">  </w:t>
            </w:r>
          </w:p>
          <w:p w14:paraId="5F0684F7" w14:textId="77777777" w:rsidR="00B948D4" w:rsidRPr="003A2249" w:rsidRDefault="00B948D4" w:rsidP="00B948D4">
            <w:pPr>
              <w:pStyle w:val="CommentText"/>
              <w:numPr>
                <w:ilvl w:val="0"/>
                <w:numId w:val="1"/>
              </w:numPr>
              <w:spacing w:beforeLines="60" w:before="144" w:afterLines="60" w:after="144"/>
              <w:rPr>
                <w:rFonts w:ascii="Arial" w:hAnsi="Arial" w:cs="Arial"/>
                <w:sz w:val="18"/>
                <w:szCs w:val="18"/>
                <w:lang w:val="en-US"/>
              </w:rPr>
            </w:pPr>
            <w:r w:rsidRPr="003A2249">
              <w:rPr>
                <w:rFonts w:ascii="Arial" w:hAnsi="Arial" w:cs="Arial"/>
                <w:sz w:val="18"/>
                <w:szCs w:val="18"/>
                <w:lang w:val="en-US"/>
              </w:rPr>
              <w:t xml:space="preserve">Global Human Settlement Layer (GHSL): </w:t>
            </w:r>
            <w:hyperlink r:id="rId42" w:history="1">
              <w:r w:rsidRPr="003A2249">
                <w:rPr>
                  <w:rStyle w:val="Hyperlink"/>
                  <w:rFonts w:ascii="Arial" w:hAnsi="Arial" w:cs="Arial"/>
                  <w:sz w:val="18"/>
                  <w:szCs w:val="18"/>
                  <w:lang w:val="en-US"/>
                </w:rPr>
                <w:t>https://ghsl.jrc.ec.europa.eu/tools.php</w:t>
              </w:r>
            </w:hyperlink>
            <w:r w:rsidRPr="003A2249">
              <w:rPr>
                <w:rFonts w:ascii="Arial" w:hAnsi="Arial" w:cs="Arial"/>
                <w:sz w:val="18"/>
                <w:szCs w:val="18"/>
                <w:lang w:val="en-US"/>
              </w:rPr>
              <w:t xml:space="preserve">  </w:t>
            </w:r>
          </w:p>
          <w:p w14:paraId="544A4FBF" w14:textId="6CFDD148" w:rsidR="00B948D4" w:rsidRPr="003A2249" w:rsidRDefault="00B948D4" w:rsidP="00326E5A">
            <w:pPr>
              <w:pStyle w:val="CommentText"/>
              <w:numPr>
                <w:ilvl w:val="0"/>
                <w:numId w:val="1"/>
              </w:numPr>
              <w:spacing w:beforeLines="60" w:before="144" w:afterLines="60" w:after="144"/>
              <w:rPr>
                <w:rFonts w:ascii="Arial" w:hAnsi="Arial" w:cs="Arial"/>
                <w:sz w:val="18"/>
                <w:szCs w:val="18"/>
                <w:lang w:val="en-US"/>
              </w:rPr>
            </w:pPr>
            <w:r w:rsidRPr="003A2249">
              <w:rPr>
                <w:rFonts w:ascii="Arial" w:hAnsi="Arial" w:cs="Arial"/>
                <w:sz w:val="18"/>
                <w:szCs w:val="18"/>
                <w:lang w:val="en-US"/>
              </w:rPr>
              <w:t xml:space="preserve">Global Urban Footprint (GUF): </w:t>
            </w:r>
            <w:hyperlink r:id="rId43" w:history="1">
              <w:r w:rsidRPr="003A2249">
                <w:rPr>
                  <w:rStyle w:val="Hyperlink"/>
                  <w:rFonts w:ascii="Arial" w:hAnsi="Arial" w:cs="Arial"/>
                  <w:sz w:val="18"/>
                  <w:szCs w:val="18"/>
                  <w:lang w:val="en-US"/>
                </w:rPr>
                <w:t>https://www.dlr.de/eoc/en/desktopdefault.aspx/tabid-9628/16557_read-40454/</w:t>
              </w:r>
            </w:hyperlink>
          </w:p>
          <w:p w14:paraId="4F31BFF0" w14:textId="77777777" w:rsidR="00B948D4" w:rsidRPr="003A2249" w:rsidRDefault="00B948D4" w:rsidP="00B948D4">
            <w:pPr>
              <w:pStyle w:val="CommentText"/>
              <w:numPr>
                <w:ilvl w:val="0"/>
                <w:numId w:val="1"/>
              </w:numPr>
              <w:spacing w:beforeLines="60" w:before="144" w:afterLines="60" w:after="144"/>
              <w:rPr>
                <w:rFonts w:ascii="Arial" w:hAnsi="Arial" w:cs="Arial"/>
                <w:sz w:val="18"/>
                <w:szCs w:val="18"/>
                <w:lang w:val="en-US"/>
              </w:rPr>
            </w:pPr>
            <w:r w:rsidRPr="003A2249">
              <w:rPr>
                <w:rFonts w:ascii="Arial" w:hAnsi="Arial" w:cs="Arial"/>
                <w:sz w:val="18"/>
                <w:szCs w:val="18"/>
                <w:lang w:val="en-US"/>
              </w:rPr>
              <w:t xml:space="preserve">Gridded Population of the world: </w:t>
            </w:r>
            <w:hyperlink r:id="rId44" w:history="1">
              <w:r w:rsidRPr="003A2249">
                <w:rPr>
                  <w:rStyle w:val="Hyperlink"/>
                  <w:rFonts w:ascii="Arial" w:hAnsi="Arial" w:cs="Arial"/>
                  <w:sz w:val="18"/>
                  <w:szCs w:val="18"/>
                  <w:lang w:val="en-US"/>
                </w:rPr>
                <w:t>https://sedac.ciesin.columbia.edu/data/collection/gpw-v4</w:t>
              </w:r>
            </w:hyperlink>
            <w:r w:rsidRPr="003A2249">
              <w:rPr>
                <w:rFonts w:ascii="Arial" w:hAnsi="Arial" w:cs="Arial"/>
                <w:sz w:val="18"/>
                <w:szCs w:val="18"/>
                <w:lang w:val="en-US"/>
              </w:rPr>
              <w:t xml:space="preserve">  </w:t>
            </w:r>
          </w:p>
          <w:p w14:paraId="682F5835" w14:textId="77777777" w:rsidR="00B948D4" w:rsidRPr="003A2249" w:rsidRDefault="00B948D4" w:rsidP="00B948D4">
            <w:pPr>
              <w:pStyle w:val="CommentText"/>
              <w:numPr>
                <w:ilvl w:val="0"/>
                <w:numId w:val="1"/>
              </w:numPr>
              <w:spacing w:beforeLines="60" w:before="144" w:afterLines="60" w:after="144"/>
              <w:rPr>
                <w:rFonts w:ascii="Arial" w:hAnsi="Arial" w:cs="Arial"/>
                <w:sz w:val="18"/>
                <w:szCs w:val="18"/>
                <w:lang w:val="en-US"/>
              </w:rPr>
            </w:pPr>
            <w:r w:rsidRPr="003A2249">
              <w:rPr>
                <w:rFonts w:ascii="Arial" w:hAnsi="Arial" w:cs="Arial"/>
                <w:sz w:val="18"/>
                <w:szCs w:val="18"/>
                <w:lang w:val="en-US"/>
              </w:rPr>
              <w:t xml:space="preserve">High Resolution Settlement Layer:  </w:t>
            </w:r>
            <w:hyperlink r:id="rId45" w:history="1">
              <w:r w:rsidRPr="003A2249">
                <w:rPr>
                  <w:rStyle w:val="Hyperlink"/>
                  <w:rFonts w:ascii="Arial" w:hAnsi="Arial" w:cs="Arial"/>
                  <w:sz w:val="18"/>
                  <w:szCs w:val="18"/>
                  <w:lang w:val="en-US"/>
                </w:rPr>
                <w:t>https://www.ciesin.columbia.edu/data/hrsl/</w:t>
              </w:r>
            </w:hyperlink>
            <w:r w:rsidRPr="003A2249">
              <w:rPr>
                <w:rFonts w:ascii="Arial" w:hAnsi="Arial" w:cs="Arial"/>
                <w:sz w:val="18"/>
                <w:szCs w:val="18"/>
                <w:lang w:val="en-US"/>
              </w:rPr>
              <w:t xml:space="preserve">  </w:t>
            </w:r>
          </w:p>
          <w:p w14:paraId="738EDA7B" w14:textId="4A608DEE" w:rsidR="00423E05" w:rsidRPr="003A2249" w:rsidRDefault="00423E05" w:rsidP="00423E05">
            <w:pPr>
              <w:pStyle w:val="CommentText"/>
              <w:numPr>
                <w:ilvl w:val="0"/>
                <w:numId w:val="1"/>
              </w:numPr>
              <w:spacing w:beforeLines="60" w:before="144" w:afterLines="60" w:after="144"/>
              <w:rPr>
                <w:rFonts w:ascii="Arial" w:hAnsi="Arial" w:cs="Arial"/>
                <w:sz w:val="18"/>
                <w:szCs w:val="18"/>
                <w:lang w:val="es-BO"/>
              </w:rPr>
            </w:pPr>
            <w:r w:rsidRPr="003A2249">
              <w:rPr>
                <w:rFonts w:ascii="Arial" w:hAnsi="Arial" w:cs="Arial"/>
                <w:sz w:val="18"/>
                <w:szCs w:val="18"/>
                <w:lang w:val="es-BO"/>
              </w:rPr>
              <w:t xml:space="preserve">POPGRID: </w:t>
            </w:r>
            <w:hyperlink r:id="rId46" w:history="1">
              <w:r w:rsidRPr="003A2249">
                <w:rPr>
                  <w:rStyle w:val="Hyperlink"/>
                  <w:rFonts w:ascii="Arial" w:hAnsi="Arial" w:cs="Arial"/>
                  <w:sz w:val="18"/>
                  <w:szCs w:val="18"/>
                  <w:lang w:val="es-BO"/>
                </w:rPr>
                <w:t>https://www.popgrid.org/home</w:t>
              </w:r>
            </w:hyperlink>
          </w:p>
          <w:p w14:paraId="64A7D770" w14:textId="3766887C" w:rsidR="00423E05" w:rsidRPr="003A2249" w:rsidRDefault="00423E05" w:rsidP="00423E05">
            <w:pPr>
              <w:pStyle w:val="CommentText"/>
              <w:numPr>
                <w:ilvl w:val="0"/>
                <w:numId w:val="1"/>
              </w:numPr>
              <w:spacing w:beforeLines="60" w:before="144" w:afterLines="60" w:after="144"/>
              <w:rPr>
                <w:rFonts w:ascii="Arial" w:hAnsi="Arial" w:cs="Arial"/>
                <w:sz w:val="18"/>
                <w:szCs w:val="18"/>
                <w:lang w:val="en-US"/>
              </w:rPr>
            </w:pPr>
            <w:r w:rsidRPr="003A2249">
              <w:rPr>
                <w:rFonts w:ascii="Arial" w:hAnsi="Arial" w:cs="Arial"/>
                <w:sz w:val="18"/>
                <w:szCs w:val="18"/>
                <w:lang w:val="en-US"/>
              </w:rPr>
              <w:t xml:space="preserve">The Urban Thematic Exploitation Platform (U-TEP): </w:t>
            </w:r>
            <w:hyperlink r:id="rId47" w:history="1">
              <w:r w:rsidRPr="003A2249">
                <w:rPr>
                  <w:rStyle w:val="Hyperlink"/>
                  <w:rFonts w:ascii="Arial" w:hAnsi="Arial" w:cs="Arial"/>
                  <w:sz w:val="18"/>
                  <w:szCs w:val="18"/>
                  <w:lang w:val="en-US"/>
                </w:rPr>
                <w:t>https://urban-tep.eu/puma/tool/</w:t>
              </w:r>
            </w:hyperlink>
          </w:p>
          <w:p w14:paraId="094328BF" w14:textId="357F0321" w:rsidR="00423E05" w:rsidRPr="003A2249" w:rsidRDefault="00423E05" w:rsidP="00423E05">
            <w:pPr>
              <w:pStyle w:val="CommentText"/>
              <w:numPr>
                <w:ilvl w:val="0"/>
                <w:numId w:val="1"/>
              </w:numPr>
              <w:spacing w:beforeLines="60" w:before="144" w:afterLines="60" w:after="144"/>
              <w:rPr>
                <w:rFonts w:ascii="Arial" w:hAnsi="Arial" w:cs="Arial"/>
                <w:sz w:val="18"/>
                <w:szCs w:val="18"/>
                <w:lang w:val="en-US"/>
              </w:rPr>
            </w:pPr>
            <w:proofErr w:type="spellStart"/>
            <w:r w:rsidRPr="003A2249">
              <w:rPr>
                <w:rFonts w:ascii="Arial" w:hAnsi="Arial" w:cs="Arial"/>
                <w:sz w:val="18"/>
                <w:szCs w:val="18"/>
                <w:lang w:val="en-US"/>
              </w:rPr>
              <w:t>Trends.Earth</w:t>
            </w:r>
            <w:proofErr w:type="spellEnd"/>
            <w:r w:rsidRPr="003A2249">
              <w:rPr>
                <w:rFonts w:ascii="Arial" w:hAnsi="Arial" w:cs="Arial"/>
                <w:sz w:val="18"/>
                <w:szCs w:val="18"/>
                <w:lang w:val="en-US"/>
              </w:rPr>
              <w:t xml:space="preserve"> Urban Mapper: cf. </w:t>
            </w:r>
            <w:hyperlink r:id="rId48" w:history="1">
              <w:r w:rsidRPr="003A2249">
                <w:rPr>
                  <w:rStyle w:val="Hyperlink"/>
                  <w:rFonts w:ascii="Arial" w:hAnsi="Arial" w:cs="Arial"/>
                  <w:sz w:val="18"/>
                  <w:szCs w:val="18"/>
                  <w:lang w:val="en-US"/>
                </w:rPr>
                <w:t>https://geflanddegradation.users.earthengine.app/view/trendsearth-urban-mapper</w:t>
              </w:r>
            </w:hyperlink>
            <w:r w:rsidRPr="003A2249">
              <w:rPr>
                <w:rFonts w:ascii="Arial" w:hAnsi="Arial" w:cs="Arial"/>
                <w:sz w:val="18"/>
                <w:szCs w:val="18"/>
                <w:lang w:val="en-US"/>
              </w:rPr>
              <w:t xml:space="preserve">    </w:t>
            </w:r>
          </w:p>
          <w:p w14:paraId="48DF4437" w14:textId="4568114B" w:rsidR="00B948D4" w:rsidRPr="003A2249" w:rsidRDefault="00B948D4" w:rsidP="00B948D4">
            <w:pPr>
              <w:pStyle w:val="CommentText"/>
              <w:numPr>
                <w:ilvl w:val="0"/>
                <w:numId w:val="1"/>
              </w:numPr>
              <w:spacing w:beforeLines="60" w:before="144" w:afterLines="60" w:after="144"/>
              <w:rPr>
                <w:rFonts w:ascii="Arial" w:hAnsi="Arial" w:cs="Arial"/>
                <w:sz w:val="18"/>
                <w:szCs w:val="18"/>
                <w:lang w:val="en-US"/>
              </w:rPr>
            </w:pPr>
            <w:proofErr w:type="spellStart"/>
            <w:r w:rsidRPr="003A2249">
              <w:rPr>
                <w:rFonts w:ascii="Arial" w:hAnsi="Arial" w:cs="Arial"/>
                <w:sz w:val="18"/>
                <w:szCs w:val="18"/>
                <w:lang w:val="en-US"/>
              </w:rPr>
              <w:t>WorldPop</w:t>
            </w:r>
            <w:proofErr w:type="spellEnd"/>
            <w:r w:rsidRPr="003A2249">
              <w:rPr>
                <w:rFonts w:ascii="Arial" w:hAnsi="Arial" w:cs="Arial"/>
                <w:sz w:val="18"/>
                <w:szCs w:val="18"/>
                <w:lang w:val="en-US"/>
              </w:rPr>
              <w:t xml:space="preserve">: </w:t>
            </w:r>
            <w:hyperlink r:id="rId49" w:history="1">
              <w:r w:rsidRPr="003A2249">
                <w:rPr>
                  <w:rStyle w:val="Hyperlink"/>
                  <w:rFonts w:ascii="Arial" w:hAnsi="Arial" w:cs="Arial"/>
                  <w:sz w:val="18"/>
                  <w:szCs w:val="18"/>
                  <w:lang w:val="en-US"/>
                </w:rPr>
                <w:t>http://www.worldpop.org.uk/</w:t>
              </w:r>
            </w:hyperlink>
            <w:r w:rsidRPr="003A2249">
              <w:rPr>
                <w:rFonts w:ascii="Arial" w:hAnsi="Arial" w:cs="Arial"/>
                <w:sz w:val="18"/>
                <w:szCs w:val="18"/>
                <w:lang w:val="en-US"/>
              </w:rPr>
              <w:t xml:space="preserve">  </w:t>
            </w:r>
          </w:p>
          <w:p w14:paraId="1CE8CCE9" w14:textId="4A6AB9E7" w:rsidR="00326E5A" w:rsidRPr="003A2249" w:rsidRDefault="00326E5A" w:rsidP="00326E5A">
            <w:pPr>
              <w:pStyle w:val="CommentText"/>
              <w:numPr>
                <w:ilvl w:val="0"/>
                <w:numId w:val="1"/>
              </w:numPr>
              <w:spacing w:beforeLines="60" w:before="144" w:afterLines="60" w:after="144"/>
              <w:rPr>
                <w:rFonts w:ascii="Arial" w:hAnsi="Arial" w:cs="Arial"/>
                <w:sz w:val="18"/>
                <w:szCs w:val="18"/>
                <w:lang w:val="en-US"/>
              </w:rPr>
            </w:pPr>
            <w:r w:rsidRPr="003A2249">
              <w:rPr>
                <w:rFonts w:ascii="Arial" w:hAnsi="Arial" w:cs="Arial"/>
                <w:sz w:val="18"/>
                <w:szCs w:val="18"/>
                <w:lang w:val="en-US"/>
              </w:rPr>
              <w:t xml:space="preserve">World Settlement Footprint 2015 (WSF-2015): </w:t>
            </w:r>
            <w:hyperlink r:id="rId50" w:history="1">
              <w:r w:rsidRPr="003A2249">
                <w:rPr>
                  <w:rStyle w:val="Hyperlink"/>
                  <w:rFonts w:ascii="Arial" w:hAnsi="Arial" w:cs="Arial"/>
                  <w:sz w:val="18"/>
                  <w:szCs w:val="18"/>
                  <w:lang w:val="en-US"/>
                </w:rPr>
                <w:t>https://urban-tep.eu/puma/tool/?id=574795484&amp;lang=en</w:t>
              </w:r>
            </w:hyperlink>
            <w:r w:rsidRPr="003A2249">
              <w:rPr>
                <w:rFonts w:ascii="Arial" w:hAnsi="Arial" w:cs="Arial"/>
                <w:sz w:val="18"/>
                <w:szCs w:val="18"/>
                <w:lang w:val="en-US"/>
              </w:rPr>
              <w:t xml:space="preserve">  </w:t>
            </w:r>
          </w:p>
          <w:p w14:paraId="083F0823" w14:textId="0081B15E" w:rsidR="001C725C" w:rsidRPr="003A2249" w:rsidRDefault="00F423A5" w:rsidP="00423E05">
            <w:pPr>
              <w:pStyle w:val="CommentText"/>
              <w:numPr>
                <w:ilvl w:val="0"/>
                <w:numId w:val="1"/>
              </w:numPr>
              <w:spacing w:beforeLines="60" w:before="144" w:afterLines="60" w:after="144"/>
              <w:rPr>
                <w:rFonts w:ascii="Arial" w:hAnsi="Arial" w:cs="Arial"/>
                <w:sz w:val="18"/>
                <w:szCs w:val="18"/>
                <w:lang w:val="fr-FR"/>
              </w:rPr>
            </w:pPr>
            <w:r w:rsidRPr="003A2249">
              <w:rPr>
                <w:rFonts w:ascii="Arial" w:hAnsi="Arial" w:cs="Arial"/>
                <w:sz w:val="18"/>
                <w:szCs w:val="18"/>
                <w:lang w:val="fr-FR"/>
              </w:rPr>
              <w:t xml:space="preserve">UN DESA population </w:t>
            </w:r>
            <w:proofErr w:type="gramStart"/>
            <w:r w:rsidRPr="003A2249">
              <w:rPr>
                <w:rFonts w:ascii="Arial" w:hAnsi="Arial" w:cs="Arial"/>
                <w:sz w:val="18"/>
                <w:szCs w:val="18"/>
                <w:lang w:val="fr-FR"/>
              </w:rPr>
              <w:t>data:</w:t>
            </w:r>
            <w:proofErr w:type="gramEnd"/>
            <w:r w:rsidRPr="003A2249">
              <w:rPr>
                <w:rFonts w:ascii="Arial" w:hAnsi="Arial" w:cs="Arial"/>
                <w:sz w:val="18"/>
                <w:szCs w:val="18"/>
                <w:lang w:val="fr-FR"/>
              </w:rPr>
              <w:t xml:space="preserve"> </w:t>
            </w:r>
            <w:hyperlink r:id="rId51" w:history="1">
              <w:r w:rsidR="00AB1129" w:rsidRPr="003A2249">
                <w:rPr>
                  <w:rStyle w:val="Hyperlink"/>
                  <w:rFonts w:ascii="Arial" w:hAnsi="Arial" w:cs="Arial"/>
                  <w:sz w:val="18"/>
                  <w:szCs w:val="18"/>
                  <w:lang w:val="fr-FR"/>
                </w:rPr>
                <w:t>http://www.un.org/en/development/desa/population/publications/database/index.shtml</w:t>
              </w:r>
            </w:hyperlink>
            <w:r w:rsidR="00AB1129" w:rsidRPr="003A2249">
              <w:rPr>
                <w:rFonts w:ascii="Arial" w:hAnsi="Arial" w:cs="Arial"/>
                <w:sz w:val="18"/>
                <w:szCs w:val="18"/>
                <w:lang w:val="fr-FR"/>
              </w:rPr>
              <w:t xml:space="preserve"> </w:t>
            </w:r>
            <w:r w:rsidRPr="003A2249">
              <w:rPr>
                <w:rFonts w:ascii="Arial" w:hAnsi="Arial" w:cs="Arial"/>
                <w:sz w:val="18"/>
                <w:szCs w:val="18"/>
                <w:lang w:val="fr-FR"/>
              </w:rPr>
              <w:t xml:space="preserve"> </w:t>
            </w:r>
          </w:p>
        </w:tc>
      </w:tr>
      <w:bookmarkEnd w:id="0"/>
    </w:tbl>
    <w:p w14:paraId="16268D40" w14:textId="77777777" w:rsidR="0092258F" w:rsidRPr="005405A2" w:rsidRDefault="0092258F">
      <w:pPr>
        <w:rPr>
          <w:lang w:val="fr-FR"/>
        </w:rPr>
      </w:pPr>
    </w:p>
    <w:sectPr w:rsidR="0092258F" w:rsidRPr="005405A2" w:rsidSect="00465D73">
      <w:headerReference w:type="default" r:id="rId52"/>
      <w:pgSz w:w="11906" w:h="16838"/>
      <w:pgMar w:top="1701" w:right="1134" w:bottom="163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54C3" w14:textId="77777777" w:rsidR="00805BE9" w:rsidRDefault="00805BE9" w:rsidP="00AC12F0">
      <w:r>
        <w:separator/>
      </w:r>
    </w:p>
  </w:endnote>
  <w:endnote w:type="continuationSeparator" w:id="0">
    <w:p w14:paraId="5DD4DD31" w14:textId="77777777" w:rsidR="00805BE9" w:rsidRDefault="00805BE9" w:rsidP="00AC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5A76A" w14:textId="77777777" w:rsidR="00805BE9" w:rsidRDefault="00805BE9" w:rsidP="00AC12F0">
      <w:r>
        <w:separator/>
      </w:r>
    </w:p>
  </w:footnote>
  <w:footnote w:type="continuationSeparator" w:id="0">
    <w:p w14:paraId="504CB534" w14:textId="77777777" w:rsidR="00805BE9" w:rsidRDefault="00805BE9" w:rsidP="00AC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53C3" w14:textId="4AE25787" w:rsidR="00FF4C04" w:rsidRPr="00EA41AF" w:rsidRDefault="00EA41AF" w:rsidP="00EA41AF">
    <w:pPr>
      <w:pStyle w:val="Header"/>
      <w:jc w:val="center"/>
      <w:rPr>
        <w:i/>
        <w:sz w:val="22"/>
        <w:lang w:val="en-US"/>
      </w:rPr>
    </w:pPr>
    <w:r w:rsidRPr="00EA41AF">
      <w:rPr>
        <w:i/>
        <w:sz w:val="22"/>
        <w:lang w:val="en-US"/>
      </w:rPr>
      <w:t>Indicator Support Sheet 11.3.1, Draft 0.1, 9/9/2019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25F7"/>
    <w:multiLevelType w:val="hybridMultilevel"/>
    <w:tmpl w:val="24FC51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3B81314"/>
    <w:multiLevelType w:val="hybridMultilevel"/>
    <w:tmpl w:val="14567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443FEC"/>
    <w:multiLevelType w:val="hybridMultilevel"/>
    <w:tmpl w:val="ADD6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51149"/>
    <w:multiLevelType w:val="hybridMultilevel"/>
    <w:tmpl w:val="7C2AF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DD3C57"/>
    <w:multiLevelType w:val="hybridMultilevel"/>
    <w:tmpl w:val="3B50B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7F41FC"/>
    <w:multiLevelType w:val="hybridMultilevel"/>
    <w:tmpl w:val="4CBAF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A03218"/>
    <w:multiLevelType w:val="hybridMultilevel"/>
    <w:tmpl w:val="EF8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74C23"/>
    <w:multiLevelType w:val="hybridMultilevel"/>
    <w:tmpl w:val="52249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MTO0MDY0MTM3sbBU0lEKTi0uzszPAykwqgUASOSztiwAAAA="/>
  </w:docVars>
  <w:rsids>
    <w:rsidRoot w:val="00E30EED"/>
    <w:rsid w:val="00002D68"/>
    <w:rsid w:val="00004702"/>
    <w:rsid w:val="00004955"/>
    <w:rsid w:val="000066FA"/>
    <w:rsid w:val="000071E1"/>
    <w:rsid w:val="00023EC6"/>
    <w:rsid w:val="00024BDC"/>
    <w:rsid w:val="000265FE"/>
    <w:rsid w:val="00031341"/>
    <w:rsid w:val="00041B88"/>
    <w:rsid w:val="0004729B"/>
    <w:rsid w:val="0005401F"/>
    <w:rsid w:val="00060F02"/>
    <w:rsid w:val="000645BA"/>
    <w:rsid w:val="000665C2"/>
    <w:rsid w:val="0007041A"/>
    <w:rsid w:val="00073C53"/>
    <w:rsid w:val="00074402"/>
    <w:rsid w:val="00090100"/>
    <w:rsid w:val="0009015D"/>
    <w:rsid w:val="00094182"/>
    <w:rsid w:val="00096464"/>
    <w:rsid w:val="00097576"/>
    <w:rsid w:val="000B23CB"/>
    <w:rsid w:val="000B4D05"/>
    <w:rsid w:val="000B7BFB"/>
    <w:rsid w:val="000C1720"/>
    <w:rsid w:val="000C3472"/>
    <w:rsid w:val="000C4929"/>
    <w:rsid w:val="000C72DF"/>
    <w:rsid w:val="000D01A7"/>
    <w:rsid w:val="000E0F3F"/>
    <w:rsid w:val="000E44D2"/>
    <w:rsid w:val="000E509A"/>
    <w:rsid w:val="000E5D8B"/>
    <w:rsid w:val="000F79D2"/>
    <w:rsid w:val="00115137"/>
    <w:rsid w:val="00122835"/>
    <w:rsid w:val="00126605"/>
    <w:rsid w:val="00130BDA"/>
    <w:rsid w:val="00131C11"/>
    <w:rsid w:val="00131ED1"/>
    <w:rsid w:val="00137F80"/>
    <w:rsid w:val="00141808"/>
    <w:rsid w:val="001475C2"/>
    <w:rsid w:val="001501CF"/>
    <w:rsid w:val="001504E6"/>
    <w:rsid w:val="00150595"/>
    <w:rsid w:val="00153B9B"/>
    <w:rsid w:val="001629DB"/>
    <w:rsid w:val="00166268"/>
    <w:rsid w:val="00166C5C"/>
    <w:rsid w:val="00186E33"/>
    <w:rsid w:val="001A71D2"/>
    <w:rsid w:val="001B11BB"/>
    <w:rsid w:val="001B15DD"/>
    <w:rsid w:val="001B1927"/>
    <w:rsid w:val="001B2FB1"/>
    <w:rsid w:val="001B3A40"/>
    <w:rsid w:val="001B4D61"/>
    <w:rsid w:val="001B4EFF"/>
    <w:rsid w:val="001C725C"/>
    <w:rsid w:val="001D0101"/>
    <w:rsid w:val="001E0502"/>
    <w:rsid w:val="001E2048"/>
    <w:rsid w:val="001E2F01"/>
    <w:rsid w:val="001E3445"/>
    <w:rsid w:val="001E3EA8"/>
    <w:rsid w:val="001E45FF"/>
    <w:rsid w:val="001E71DA"/>
    <w:rsid w:val="002005F5"/>
    <w:rsid w:val="0020136A"/>
    <w:rsid w:val="002031CD"/>
    <w:rsid w:val="00225E8D"/>
    <w:rsid w:val="00226790"/>
    <w:rsid w:val="00231B81"/>
    <w:rsid w:val="002414D3"/>
    <w:rsid w:val="0024446B"/>
    <w:rsid w:val="00247FCF"/>
    <w:rsid w:val="00250C13"/>
    <w:rsid w:val="002544F7"/>
    <w:rsid w:val="00257016"/>
    <w:rsid w:val="002631C7"/>
    <w:rsid w:val="00265A45"/>
    <w:rsid w:val="00274B53"/>
    <w:rsid w:val="00287174"/>
    <w:rsid w:val="00296BA6"/>
    <w:rsid w:val="002A27F5"/>
    <w:rsid w:val="002A346B"/>
    <w:rsid w:val="002A431F"/>
    <w:rsid w:val="002A5F50"/>
    <w:rsid w:val="002B1BFF"/>
    <w:rsid w:val="002C7B17"/>
    <w:rsid w:val="002D58B2"/>
    <w:rsid w:val="002E3146"/>
    <w:rsid w:val="002E7D78"/>
    <w:rsid w:val="002F0A8D"/>
    <w:rsid w:val="002F281F"/>
    <w:rsid w:val="002F7980"/>
    <w:rsid w:val="00300DC5"/>
    <w:rsid w:val="00304626"/>
    <w:rsid w:val="003059F0"/>
    <w:rsid w:val="00306933"/>
    <w:rsid w:val="00317FA1"/>
    <w:rsid w:val="00326E5A"/>
    <w:rsid w:val="00327F6C"/>
    <w:rsid w:val="003305CC"/>
    <w:rsid w:val="00331089"/>
    <w:rsid w:val="00331314"/>
    <w:rsid w:val="003368ED"/>
    <w:rsid w:val="00337FFC"/>
    <w:rsid w:val="0034072E"/>
    <w:rsid w:val="00341A1D"/>
    <w:rsid w:val="00345234"/>
    <w:rsid w:val="00352157"/>
    <w:rsid w:val="0035496E"/>
    <w:rsid w:val="00360BA2"/>
    <w:rsid w:val="003646E1"/>
    <w:rsid w:val="00365A14"/>
    <w:rsid w:val="0036776C"/>
    <w:rsid w:val="00370879"/>
    <w:rsid w:val="00370F8C"/>
    <w:rsid w:val="00377108"/>
    <w:rsid w:val="0038061B"/>
    <w:rsid w:val="003862F7"/>
    <w:rsid w:val="00387C56"/>
    <w:rsid w:val="003A03D4"/>
    <w:rsid w:val="003A2249"/>
    <w:rsid w:val="003B03B6"/>
    <w:rsid w:val="003C3250"/>
    <w:rsid w:val="003C355A"/>
    <w:rsid w:val="003C5597"/>
    <w:rsid w:val="003D07BE"/>
    <w:rsid w:val="003D1380"/>
    <w:rsid w:val="003D19C1"/>
    <w:rsid w:val="003D1D33"/>
    <w:rsid w:val="003D3ECA"/>
    <w:rsid w:val="003E36B7"/>
    <w:rsid w:val="003E4A7D"/>
    <w:rsid w:val="003E65A9"/>
    <w:rsid w:val="003F12C3"/>
    <w:rsid w:val="003F1970"/>
    <w:rsid w:val="003F2DA2"/>
    <w:rsid w:val="003F5581"/>
    <w:rsid w:val="00401F54"/>
    <w:rsid w:val="0040254D"/>
    <w:rsid w:val="00405440"/>
    <w:rsid w:val="00420F2C"/>
    <w:rsid w:val="004212AD"/>
    <w:rsid w:val="00423E05"/>
    <w:rsid w:val="004260DD"/>
    <w:rsid w:val="0043575F"/>
    <w:rsid w:val="00435EE8"/>
    <w:rsid w:val="004362F5"/>
    <w:rsid w:val="0044067B"/>
    <w:rsid w:val="00444AAE"/>
    <w:rsid w:val="00445B8D"/>
    <w:rsid w:val="00450E67"/>
    <w:rsid w:val="00465D73"/>
    <w:rsid w:val="00465DE7"/>
    <w:rsid w:val="004739CA"/>
    <w:rsid w:val="00475B36"/>
    <w:rsid w:val="00476C1E"/>
    <w:rsid w:val="004911A5"/>
    <w:rsid w:val="00492EC7"/>
    <w:rsid w:val="00494157"/>
    <w:rsid w:val="00494556"/>
    <w:rsid w:val="004A1D92"/>
    <w:rsid w:val="004A4638"/>
    <w:rsid w:val="004A652E"/>
    <w:rsid w:val="004A776F"/>
    <w:rsid w:val="004B0AE6"/>
    <w:rsid w:val="004B3064"/>
    <w:rsid w:val="004B38B1"/>
    <w:rsid w:val="004D28B9"/>
    <w:rsid w:val="004E0BA5"/>
    <w:rsid w:val="004E481E"/>
    <w:rsid w:val="005037D2"/>
    <w:rsid w:val="00510FA8"/>
    <w:rsid w:val="00511012"/>
    <w:rsid w:val="00511C8B"/>
    <w:rsid w:val="005137EB"/>
    <w:rsid w:val="0052292F"/>
    <w:rsid w:val="00534FE0"/>
    <w:rsid w:val="0053608F"/>
    <w:rsid w:val="00536522"/>
    <w:rsid w:val="00536B7D"/>
    <w:rsid w:val="005405A2"/>
    <w:rsid w:val="00551064"/>
    <w:rsid w:val="005537AE"/>
    <w:rsid w:val="00557A92"/>
    <w:rsid w:val="005937FE"/>
    <w:rsid w:val="005A3691"/>
    <w:rsid w:val="005B1D61"/>
    <w:rsid w:val="005B4F5C"/>
    <w:rsid w:val="005C2FD0"/>
    <w:rsid w:val="005C3951"/>
    <w:rsid w:val="005C7197"/>
    <w:rsid w:val="005D1BDC"/>
    <w:rsid w:val="005D4AD6"/>
    <w:rsid w:val="005D798C"/>
    <w:rsid w:val="005E3541"/>
    <w:rsid w:val="005F053A"/>
    <w:rsid w:val="005F6CF2"/>
    <w:rsid w:val="006035FD"/>
    <w:rsid w:val="00606763"/>
    <w:rsid w:val="00612591"/>
    <w:rsid w:val="0061475D"/>
    <w:rsid w:val="00617666"/>
    <w:rsid w:val="00620410"/>
    <w:rsid w:val="006220F8"/>
    <w:rsid w:val="00622447"/>
    <w:rsid w:val="00623C67"/>
    <w:rsid w:val="00626608"/>
    <w:rsid w:val="00635B13"/>
    <w:rsid w:val="006372E5"/>
    <w:rsid w:val="0063741E"/>
    <w:rsid w:val="0064324A"/>
    <w:rsid w:val="00643DC4"/>
    <w:rsid w:val="006478EE"/>
    <w:rsid w:val="006502A7"/>
    <w:rsid w:val="006528F0"/>
    <w:rsid w:val="006536F2"/>
    <w:rsid w:val="0065403A"/>
    <w:rsid w:val="006668EE"/>
    <w:rsid w:val="00667D53"/>
    <w:rsid w:val="006717AF"/>
    <w:rsid w:val="00672A92"/>
    <w:rsid w:val="006828EB"/>
    <w:rsid w:val="0068358B"/>
    <w:rsid w:val="00685539"/>
    <w:rsid w:val="0068749C"/>
    <w:rsid w:val="0069353C"/>
    <w:rsid w:val="006971A2"/>
    <w:rsid w:val="006A4B20"/>
    <w:rsid w:val="006A6220"/>
    <w:rsid w:val="006B5396"/>
    <w:rsid w:val="006C005A"/>
    <w:rsid w:val="006C3E7C"/>
    <w:rsid w:val="006C5583"/>
    <w:rsid w:val="006D253B"/>
    <w:rsid w:val="006D5E51"/>
    <w:rsid w:val="006D78CA"/>
    <w:rsid w:val="006E696E"/>
    <w:rsid w:val="006F68B8"/>
    <w:rsid w:val="0070415B"/>
    <w:rsid w:val="007107DF"/>
    <w:rsid w:val="0071310E"/>
    <w:rsid w:val="00717757"/>
    <w:rsid w:val="00722ECB"/>
    <w:rsid w:val="00731317"/>
    <w:rsid w:val="00742637"/>
    <w:rsid w:val="0074428C"/>
    <w:rsid w:val="007445E1"/>
    <w:rsid w:val="0076136E"/>
    <w:rsid w:val="00767AAC"/>
    <w:rsid w:val="007750EF"/>
    <w:rsid w:val="007807F7"/>
    <w:rsid w:val="0078171C"/>
    <w:rsid w:val="0078388E"/>
    <w:rsid w:val="00796558"/>
    <w:rsid w:val="00796A6F"/>
    <w:rsid w:val="00797616"/>
    <w:rsid w:val="007A2103"/>
    <w:rsid w:val="007A512C"/>
    <w:rsid w:val="007B1BDE"/>
    <w:rsid w:val="007B401B"/>
    <w:rsid w:val="007B62B1"/>
    <w:rsid w:val="007C157A"/>
    <w:rsid w:val="007D1921"/>
    <w:rsid w:val="007D31AA"/>
    <w:rsid w:val="007D7925"/>
    <w:rsid w:val="007E2547"/>
    <w:rsid w:val="007E5DEA"/>
    <w:rsid w:val="007F3A0C"/>
    <w:rsid w:val="007F5431"/>
    <w:rsid w:val="00804756"/>
    <w:rsid w:val="00805BE9"/>
    <w:rsid w:val="0081191D"/>
    <w:rsid w:val="00815002"/>
    <w:rsid w:val="00815291"/>
    <w:rsid w:val="00820ED6"/>
    <w:rsid w:val="0082124D"/>
    <w:rsid w:val="00826B2E"/>
    <w:rsid w:val="008314AD"/>
    <w:rsid w:val="00832AE3"/>
    <w:rsid w:val="00834235"/>
    <w:rsid w:val="00847DB3"/>
    <w:rsid w:val="0085612C"/>
    <w:rsid w:val="00866711"/>
    <w:rsid w:val="008721C9"/>
    <w:rsid w:val="00873080"/>
    <w:rsid w:val="008739A8"/>
    <w:rsid w:val="008823CF"/>
    <w:rsid w:val="008847DD"/>
    <w:rsid w:val="0088635C"/>
    <w:rsid w:val="00896C7C"/>
    <w:rsid w:val="008A2B6B"/>
    <w:rsid w:val="008B2114"/>
    <w:rsid w:val="008B5DAC"/>
    <w:rsid w:val="008C24DF"/>
    <w:rsid w:val="008D1C4F"/>
    <w:rsid w:val="008D6F36"/>
    <w:rsid w:val="008E0D74"/>
    <w:rsid w:val="008E26C8"/>
    <w:rsid w:val="008E7A5D"/>
    <w:rsid w:val="008F0651"/>
    <w:rsid w:val="008F7095"/>
    <w:rsid w:val="0092258F"/>
    <w:rsid w:val="0092332D"/>
    <w:rsid w:val="009236DF"/>
    <w:rsid w:val="00924E2A"/>
    <w:rsid w:val="00930565"/>
    <w:rsid w:val="00932C7B"/>
    <w:rsid w:val="00934230"/>
    <w:rsid w:val="00936C65"/>
    <w:rsid w:val="00936C7A"/>
    <w:rsid w:val="00937423"/>
    <w:rsid w:val="00940F2A"/>
    <w:rsid w:val="00941E3A"/>
    <w:rsid w:val="00947741"/>
    <w:rsid w:val="00955BC4"/>
    <w:rsid w:val="00961CAB"/>
    <w:rsid w:val="00964641"/>
    <w:rsid w:val="00964B52"/>
    <w:rsid w:val="00971C33"/>
    <w:rsid w:val="00981490"/>
    <w:rsid w:val="0099194A"/>
    <w:rsid w:val="009919D9"/>
    <w:rsid w:val="00996424"/>
    <w:rsid w:val="009A2CEA"/>
    <w:rsid w:val="009A4764"/>
    <w:rsid w:val="009C4483"/>
    <w:rsid w:val="009C54C3"/>
    <w:rsid w:val="009D21E9"/>
    <w:rsid w:val="009D3637"/>
    <w:rsid w:val="009E0260"/>
    <w:rsid w:val="009E1CAE"/>
    <w:rsid w:val="009E3ED7"/>
    <w:rsid w:val="009E6EAD"/>
    <w:rsid w:val="009E7E80"/>
    <w:rsid w:val="009F0007"/>
    <w:rsid w:val="009F7B85"/>
    <w:rsid w:val="00A0039E"/>
    <w:rsid w:val="00A05BBF"/>
    <w:rsid w:val="00A06D87"/>
    <w:rsid w:val="00A077AF"/>
    <w:rsid w:val="00A17F8D"/>
    <w:rsid w:val="00A2086C"/>
    <w:rsid w:val="00A21690"/>
    <w:rsid w:val="00A33AE6"/>
    <w:rsid w:val="00A3444A"/>
    <w:rsid w:val="00A34CC7"/>
    <w:rsid w:val="00A35454"/>
    <w:rsid w:val="00A37CFF"/>
    <w:rsid w:val="00A41957"/>
    <w:rsid w:val="00A43472"/>
    <w:rsid w:val="00A605C2"/>
    <w:rsid w:val="00A7247D"/>
    <w:rsid w:val="00A83F93"/>
    <w:rsid w:val="00A91BB5"/>
    <w:rsid w:val="00AA52AA"/>
    <w:rsid w:val="00AB1129"/>
    <w:rsid w:val="00AB3848"/>
    <w:rsid w:val="00AB57C3"/>
    <w:rsid w:val="00AC12F0"/>
    <w:rsid w:val="00AC2C43"/>
    <w:rsid w:val="00AD0960"/>
    <w:rsid w:val="00AD1D33"/>
    <w:rsid w:val="00AD57E3"/>
    <w:rsid w:val="00AD7F40"/>
    <w:rsid w:val="00AE4A1B"/>
    <w:rsid w:val="00B01445"/>
    <w:rsid w:val="00B02EF5"/>
    <w:rsid w:val="00B05E9E"/>
    <w:rsid w:val="00B05FC1"/>
    <w:rsid w:val="00B10458"/>
    <w:rsid w:val="00B1388C"/>
    <w:rsid w:val="00B1402F"/>
    <w:rsid w:val="00B162C9"/>
    <w:rsid w:val="00B2260C"/>
    <w:rsid w:val="00B24338"/>
    <w:rsid w:val="00B24E64"/>
    <w:rsid w:val="00B27681"/>
    <w:rsid w:val="00B30FBE"/>
    <w:rsid w:val="00B36939"/>
    <w:rsid w:val="00B43B54"/>
    <w:rsid w:val="00B43BC4"/>
    <w:rsid w:val="00B54A68"/>
    <w:rsid w:val="00B65C75"/>
    <w:rsid w:val="00B662A1"/>
    <w:rsid w:val="00B674FC"/>
    <w:rsid w:val="00B67D50"/>
    <w:rsid w:val="00B67D88"/>
    <w:rsid w:val="00B75A23"/>
    <w:rsid w:val="00B85A2F"/>
    <w:rsid w:val="00B8623F"/>
    <w:rsid w:val="00B928C0"/>
    <w:rsid w:val="00B948D4"/>
    <w:rsid w:val="00BA07DA"/>
    <w:rsid w:val="00BA0D64"/>
    <w:rsid w:val="00BA6138"/>
    <w:rsid w:val="00BB2535"/>
    <w:rsid w:val="00BB3B11"/>
    <w:rsid w:val="00BC0829"/>
    <w:rsid w:val="00BC3C63"/>
    <w:rsid w:val="00BC436A"/>
    <w:rsid w:val="00BC45DE"/>
    <w:rsid w:val="00BD0A62"/>
    <w:rsid w:val="00BD2AF6"/>
    <w:rsid w:val="00BD504C"/>
    <w:rsid w:val="00BE1376"/>
    <w:rsid w:val="00BF4030"/>
    <w:rsid w:val="00C040F8"/>
    <w:rsid w:val="00C15117"/>
    <w:rsid w:val="00C15A4D"/>
    <w:rsid w:val="00C17B0E"/>
    <w:rsid w:val="00C22492"/>
    <w:rsid w:val="00C262A1"/>
    <w:rsid w:val="00C27790"/>
    <w:rsid w:val="00C34794"/>
    <w:rsid w:val="00C35B89"/>
    <w:rsid w:val="00C36065"/>
    <w:rsid w:val="00C43260"/>
    <w:rsid w:val="00C44F1D"/>
    <w:rsid w:val="00C51579"/>
    <w:rsid w:val="00C72E15"/>
    <w:rsid w:val="00C906C0"/>
    <w:rsid w:val="00CA1CF3"/>
    <w:rsid w:val="00CA6F1D"/>
    <w:rsid w:val="00CB1749"/>
    <w:rsid w:val="00CB29D8"/>
    <w:rsid w:val="00CC12D2"/>
    <w:rsid w:val="00CC2B7C"/>
    <w:rsid w:val="00CC6DBF"/>
    <w:rsid w:val="00CC7B5C"/>
    <w:rsid w:val="00CD312E"/>
    <w:rsid w:val="00CD3577"/>
    <w:rsid w:val="00CD5175"/>
    <w:rsid w:val="00CD526B"/>
    <w:rsid w:val="00CD7F8B"/>
    <w:rsid w:val="00CE1387"/>
    <w:rsid w:val="00CE1A6C"/>
    <w:rsid w:val="00CE30E7"/>
    <w:rsid w:val="00CE764B"/>
    <w:rsid w:val="00CF6A0A"/>
    <w:rsid w:val="00D0752B"/>
    <w:rsid w:val="00D12EB7"/>
    <w:rsid w:val="00D14A5F"/>
    <w:rsid w:val="00D162CA"/>
    <w:rsid w:val="00D22E10"/>
    <w:rsid w:val="00D3253B"/>
    <w:rsid w:val="00D34CB6"/>
    <w:rsid w:val="00D4002B"/>
    <w:rsid w:val="00D40768"/>
    <w:rsid w:val="00D4239E"/>
    <w:rsid w:val="00D535EF"/>
    <w:rsid w:val="00D53608"/>
    <w:rsid w:val="00D54C66"/>
    <w:rsid w:val="00D607F2"/>
    <w:rsid w:val="00D6151D"/>
    <w:rsid w:val="00D64170"/>
    <w:rsid w:val="00D6577B"/>
    <w:rsid w:val="00D65B7F"/>
    <w:rsid w:val="00D66A47"/>
    <w:rsid w:val="00D766F6"/>
    <w:rsid w:val="00D86FE2"/>
    <w:rsid w:val="00D922F2"/>
    <w:rsid w:val="00D928A6"/>
    <w:rsid w:val="00D949C7"/>
    <w:rsid w:val="00D953E5"/>
    <w:rsid w:val="00DA31E4"/>
    <w:rsid w:val="00DB37D8"/>
    <w:rsid w:val="00DB6466"/>
    <w:rsid w:val="00DB748C"/>
    <w:rsid w:val="00DB77EB"/>
    <w:rsid w:val="00DC4B20"/>
    <w:rsid w:val="00DD13EA"/>
    <w:rsid w:val="00DD20A7"/>
    <w:rsid w:val="00DD38E5"/>
    <w:rsid w:val="00DE2F75"/>
    <w:rsid w:val="00DE5721"/>
    <w:rsid w:val="00DF23BF"/>
    <w:rsid w:val="00E01FFC"/>
    <w:rsid w:val="00E148E5"/>
    <w:rsid w:val="00E2731C"/>
    <w:rsid w:val="00E30EED"/>
    <w:rsid w:val="00E32D84"/>
    <w:rsid w:val="00E450AB"/>
    <w:rsid w:val="00E50EE0"/>
    <w:rsid w:val="00E562CB"/>
    <w:rsid w:val="00E63645"/>
    <w:rsid w:val="00E67FB2"/>
    <w:rsid w:val="00E70FC8"/>
    <w:rsid w:val="00E7372A"/>
    <w:rsid w:val="00E74BB0"/>
    <w:rsid w:val="00E81DE5"/>
    <w:rsid w:val="00E82D8A"/>
    <w:rsid w:val="00E83FE9"/>
    <w:rsid w:val="00E90623"/>
    <w:rsid w:val="00E94852"/>
    <w:rsid w:val="00EA22B9"/>
    <w:rsid w:val="00EA41AF"/>
    <w:rsid w:val="00EA587A"/>
    <w:rsid w:val="00EA70B1"/>
    <w:rsid w:val="00EA7EEC"/>
    <w:rsid w:val="00EC0045"/>
    <w:rsid w:val="00EC3146"/>
    <w:rsid w:val="00EC5D0E"/>
    <w:rsid w:val="00ED13DC"/>
    <w:rsid w:val="00ED3589"/>
    <w:rsid w:val="00ED43EC"/>
    <w:rsid w:val="00EE51E3"/>
    <w:rsid w:val="00EF2572"/>
    <w:rsid w:val="00EF7453"/>
    <w:rsid w:val="00F025C7"/>
    <w:rsid w:val="00F15291"/>
    <w:rsid w:val="00F16A8C"/>
    <w:rsid w:val="00F178EA"/>
    <w:rsid w:val="00F21153"/>
    <w:rsid w:val="00F24D62"/>
    <w:rsid w:val="00F250D5"/>
    <w:rsid w:val="00F335C5"/>
    <w:rsid w:val="00F34483"/>
    <w:rsid w:val="00F357DE"/>
    <w:rsid w:val="00F423A5"/>
    <w:rsid w:val="00F46A27"/>
    <w:rsid w:val="00F60A62"/>
    <w:rsid w:val="00F61F7F"/>
    <w:rsid w:val="00F6448D"/>
    <w:rsid w:val="00F64F51"/>
    <w:rsid w:val="00F651DC"/>
    <w:rsid w:val="00F73765"/>
    <w:rsid w:val="00F76286"/>
    <w:rsid w:val="00F81783"/>
    <w:rsid w:val="00FA20C6"/>
    <w:rsid w:val="00FA7F22"/>
    <w:rsid w:val="00FB3E13"/>
    <w:rsid w:val="00FB4387"/>
    <w:rsid w:val="00FB4E3E"/>
    <w:rsid w:val="00FC2BA0"/>
    <w:rsid w:val="00FC2D64"/>
    <w:rsid w:val="00FC562A"/>
    <w:rsid w:val="00FD2CE8"/>
    <w:rsid w:val="00FD33D6"/>
    <w:rsid w:val="00FD345A"/>
    <w:rsid w:val="00FD3E91"/>
    <w:rsid w:val="00FD4885"/>
    <w:rsid w:val="00FD5E82"/>
    <w:rsid w:val="00FE2D85"/>
    <w:rsid w:val="00FE6F70"/>
    <w:rsid w:val="00FF148A"/>
    <w:rsid w:val="00FF4C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3889"/>
  <w15:chartTrackingRefBased/>
  <w15:docId w15:val="{7A3B5CE8-92BD-45FC-945E-DA4417BC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EE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EE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EED"/>
    <w:rPr>
      <w:color w:val="0563C1" w:themeColor="hyperlink"/>
      <w:u w:val="single"/>
    </w:rPr>
  </w:style>
  <w:style w:type="paragraph" w:styleId="ListParagraph">
    <w:name w:val="List Paragraph"/>
    <w:basedOn w:val="Normal"/>
    <w:uiPriority w:val="34"/>
    <w:qFormat/>
    <w:rsid w:val="00E30EED"/>
    <w:pPr>
      <w:ind w:left="720"/>
      <w:contextualSpacing/>
    </w:pPr>
  </w:style>
  <w:style w:type="character" w:styleId="CommentReference">
    <w:name w:val="annotation reference"/>
    <w:basedOn w:val="DefaultParagraphFont"/>
    <w:uiPriority w:val="99"/>
    <w:semiHidden/>
    <w:unhideWhenUsed/>
    <w:rsid w:val="00E30EED"/>
    <w:rPr>
      <w:sz w:val="16"/>
      <w:szCs w:val="16"/>
    </w:rPr>
  </w:style>
  <w:style w:type="paragraph" w:styleId="CommentText">
    <w:name w:val="annotation text"/>
    <w:basedOn w:val="Normal"/>
    <w:link w:val="CommentTextChar"/>
    <w:uiPriority w:val="99"/>
    <w:unhideWhenUsed/>
    <w:rsid w:val="00E30EED"/>
    <w:rPr>
      <w:sz w:val="20"/>
      <w:szCs w:val="20"/>
    </w:rPr>
  </w:style>
  <w:style w:type="character" w:customStyle="1" w:styleId="CommentTextChar">
    <w:name w:val="Comment Text Char"/>
    <w:basedOn w:val="DefaultParagraphFont"/>
    <w:link w:val="CommentText"/>
    <w:uiPriority w:val="99"/>
    <w:rsid w:val="00E30EED"/>
    <w:rPr>
      <w:sz w:val="20"/>
      <w:szCs w:val="20"/>
      <w:lang w:val="en-GB"/>
    </w:rPr>
  </w:style>
  <w:style w:type="paragraph" w:styleId="BalloonText">
    <w:name w:val="Balloon Text"/>
    <w:basedOn w:val="Normal"/>
    <w:link w:val="BalloonTextChar"/>
    <w:uiPriority w:val="99"/>
    <w:semiHidden/>
    <w:unhideWhenUsed/>
    <w:rsid w:val="00E3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EED"/>
    <w:rPr>
      <w:rFonts w:ascii="Segoe UI" w:hAnsi="Segoe UI" w:cs="Segoe UI"/>
      <w:sz w:val="18"/>
      <w:szCs w:val="18"/>
      <w:lang w:val="en-GB"/>
    </w:rPr>
  </w:style>
  <w:style w:type="character" w:styleId="PlaceholderText">
    <w:name w:val="Placeholder Text"/>
    <w:basedOn w:val="DefaultParagraphFont"/>
    <w:uiPriority w:val="99"/>
    <w:semiHidden/>
    <w:rsid w:val="00815291"/>
    <w:rPr>
      <w:color w:val="808080"/>
    </w:rPr>
  </w:style>
  <w:style w:type="paragraph" w:styleId="CommentSubject">
    <w:name w:val="annotation subject"/>
    <w:basedOn w:val="CommentText"/>
    <w:next w:val="CommentText"/>
    <w:link w:val="CommentSubjectChar"/>
    <w:uiPriority w:val="99"/>
    <w:semiHidden/>
    <w:unhideWhenUsed/>
    <w:rsid w:val="00ED43EC"/>
    <w:rPr>
      <w:b/>
      <w:bCs/>
    </w:rPr>
  </w:style>
  <w:style w:type="character" w:customStyle="1" w:styleId="CommentSubjectChar">
    <w:name w:val="Comment Subject Char"/>
    <w:basedOn w:val="CommentTextChar"/>
    <w:link w:val="CommentSubject"/>
    <w:uiPriority w:val="99"/>
    <w:semiHidden/>
    <w:rsid w:val="00ED43EC"/>
    <w:rPr>
      <w:b/>
      <w:bCs/>
      <w:sz w:val="20"/>
      <w:szCs w:val="20"/>
      <w:lang w:val="en-GB"/>
    </w:rPr>
  </w:style>
  <w:style w:type="character" w:styleId="UnresolvedMention">
    <w:name w:val="Unresolved Mention"/>
    <w:basedOn w:val="DefaultParagraphFont"/>
    <w:uiPriority w:val="99"/>
    <w:semiHidden/>
    <w:unhideWhenUsed/>
    <w:rsid w:val="006035FD"/>
    <w:rPr>
      <w:color w:val="605E5C"/>
      <w:shd w:val="clear" w:color="auto" w:fill="E1DFDD"/>
    </w:rPr>
  </w:style>
  <w:style w:type="character" w:styleId="FollowedHyperlink">
    <w:name w:val="FollowedHyperlink"/>
    <w:basedOn w:val="DefaultParagraphFont"/>
    <w:uiPriority w:val="99"/>
    <w:semiHidden/>
    <w:unhideWhenUsed/>
    <w:rsid w:val="00955BC4"/>
    <w:rPr>
      <w:color w:val="954F72" w:themeColor="followedHyperlink"/>
      <w:u w:val="single"/>
    </w:rPr>
  </w:style>
  <w:style w:type="table" w:styleId="GridTable4-Accent1">
    <w:name w:val="Grid Table 4 Accent 1"/>
    <w:basedOn w:val="TableNormal"/>
    <w:uiPriority w:val="49"/>
    <w:rsid w:val="0061259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AC12F0"/>
    <w:pPr>
      <w:tabs>
        <w:tab w:val="center" w:pos="4819"/>
        <w:tab w:val="right" w:pos="9638"/>
      </w:tabs>
    </w:pPr>
  </w:style>
  <w:style w:type="character" w:customStyle="1" w:styleId="HeaderChar">
    <w:name w:val="Header Char"/>
    <w:basedOn w:val="DefaultParagraphFont"/>
    <w:link w:val="Header"/>
    <w:uiPriority w:val="99"/>
    <w:rsid w:val="00AC12F0"/>
    <w:rPr>
      <w:sz w:val="24"/>
      <w:szCs w:val="24"/>
      <w:lang w:val="en-GB"/>
    </w:rPr>
  </w:style>
  <w:style w:type="paragraph" w:styleId="Footer">
    <w:name w:val="footer"/>
    <w:basedOn w:val="Normal"/>
    <w:link w:val="FooterChar"/>
    <w:uiPriority w:val="99"/>
    <w:unhideWhenUsed/>
    <w:rsid w:val="00AC12F0"/>
    <w:pPr>
      <w:tabs>
        <w:tab w:val="center" w:pos="4819"/>
        <w:tab w:val="right" w:pos="9638"/>
      </w:tabs>
    </w:pPr>
  </w:style>
  <w:style w:type="character" w:customStyle="1" w:styleId="FooterChar">
    <w:name w:val="Footer Char"/>
    <w:basedOn w:val="DefaultParagraphFont"/>
    <w:link w:val="Footer"/>
    <w:uiPriority w:val="99"/>
    <w:rsid w:val="00AC12F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hsl.jrc.ec.europa.eu/data.php" TargetMode="External"/><Relationship Id="rId18" Type="http://schemas.openxmlformats.org/officeDocument/2006/relationships/hyperlink" Target="https://ghsl.jrc.ec.europa.eu/data.php" TargetMode="External"/><Relationship Id="rId26" Type="http://schemas.openxmlformats.org/officeDocument/2006/relationships/hyperlink" Target="https://www.popgrid.org/home" TargetMode="External"/><Relationship Id="rId39" Type="http://schemas.openxmlformats.org/officeDocument/2006/relationships/hyperlink" Target="https://earthexplorer.usgs.gov/" TargetMode="External"/><Relationship Id="rId21" Type="http://schemas.openxmlformats.org/officeDocument/2006/relationships/hyperlink" Target="https://www.ciesin.columbia.edu/data/hrsl/" TargetMode="External"/><Relationship Id="rId34" Type="http://schemas.openxmlformats.org/officeDocument/2006/relationships/hyperlink" Target="http://indicators.report/indicators/i-68/" TargetMode="External"/><Relationship Id="rId42" Type="http://schemas.openxmlformats.org/officeDocument/2006/relationships/hyperlink" Target="https://ghsl.jrc.ec.europa.eu/tools.php" TargetMode="External"/><Relationship Id="rId47" Type="http://schemas.openxmlformats.org/officeDocument/2006/relationships/hyperlink" Target="https://urban-tep.eu/puma/tool/" TargetMode="External"/><Relationship Id="rId50" Type="http://schemas.openxmlformats.org/officeDocument/2006/relationships/hyperlink" Target="https://urban-tep.eu/puma/tool/?id=574795484&amp;lang=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tlasofurbanexpansion.org/" TargetMode="External"/><Relationship Id="rId29" Type="http://schemas.openxmlformats.org/officeDocument/2006/relationships/hyperlink" Target="https://unhabitat.org/wp-content/uploads/2019/04/Metadata-on-SDG-Indicator-11.3.1.pdf" TargetMode="External"/><Relationship Id="rId11" Type="http://schemas.openxmlformats.org/officeDocument/2006/relationships/hyperlink" Target="https://www.copernicus.eu/en/access-data" TargetMode="External"/><Relationship Id="rId24" Type="http://schemas.openxmlformats.org/officeDocument/2006/relationships/hyperlink" Target="https://geflanddegradation.users.earthengine.app/view/trendsearth-urban-mapper" TargetMode="External"/><Relationship Id="rId32" Type="http://schemas.openxmlformats.org/officeDocument/2006/relationships/hyperlink" Target="https://unhabitat.org/wp-content/uploads/2019/04/Metadata-on-SDG-Indicator-11.3.1.pdf" TargetMode="External"/><Relationship Id="rId37" Type="http://schemas.openxmlformats.org/officeDocument/2006/relationships/hyperlink" Target="http://www.atlasofurbanexpansion.org/" TargetMode="External"/><Relationship Id="rId40" Type="http://schemas.openxmlformats.org/officeDocument/2006/relationships/hyperlink" Target="https://ghsl.jrc.ec.europa.eu/data.php" TargetMode="External"/><Relationship Id="rId45" Type="http://schemas.openxmlformats.org/officeDocument/2006/relationships/hyperlink" Target="https://www.ciesin.columbia.edu/data/hrs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worldpop.org.uk/" TargetMode="External"/><Relationship Id="rId31" Type="http://schemas.openxmlformats.org/officeDocument/2006/relationships/hyperlink" Target="https://unhabitat.org/wp-content/uploads/2019/02/Indicator-11.3.1-Training-Module_Land-Consumption_Jan-2019.pdf" TargetMode="External"/><Relationship Id="rId44" Type="http://schemas.openxmlformats.org/officeDocument/2006/relationships/hyperlink" Target="https://sedac.ciesin.columbia.edu/data/collection/gpw-v4"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lr.de/eoc/en/desktopdefault.aspx/tabid-9628/16557_read-40454/" TargetMode="External"/><Relationship Id="rId22" Type="http://schemas.openxmlformats.org/officeDocument/2006/relationships/hyperlink" Target="http://www.un.org/en/development/desa/population/publications/database/index.shtml" TargetMode="External"/><Relationship Id="rId27" Type="http://schemas.openxmlformats.org/officeDocument/2006/relationships/hyperlink" Target="https://www.earthobservations.org/activity.php?id=119" TargetMode="External"/><Relationship Id="rId30" Type="http://schemas.openxmlformats.org/officeDocument/2006/relationships/hyperlink" Target="https://unhabitat.org/wp-content/uploads/2019/02/Indicator-11.3.1-Training-Module_Land-Consumption_Jan-2019.pdf" TargetMode="External"/><Relationship Id="rId35" Type="http://schemas.openxmlformats.org/officeDocument/2006/relationships/hyperlink" Target="https://www.lincolninst.edu/sites/default/files/pubfiles/atlas-of-urban-expansion-2016-volume-1-full.pdf" TargetMode="External"/><Relationship Id="rId43" Type="http://schemas.openxmlformats.org/officeDocument/2006/relationships/hyperlink" Target="https://www.dlr.de/eoc/en/desktopdefault.aspx/tabid-9628/16557_read-40454/" TargetMode="External"/><Relationship Id="rId48" Type="http://schemas.openxmlformats.org/officeDocument/2006/relationships/hyperlink" Target="https://geflanddegradation.users.earthengine.app/view/trendsearth-urban-mapper" TargetMode="External"/><Relationship Id="rId8" Type="http://schemas.openxmlformats.org/officeDocument/2006/relationships/webSettings" Target="webSettings.xml"/><Relationship Id="rId51" Type="http://schemas.openxmlformats.org/officeDocument/2006/relationships/hyperlink" Target="http://www.un.org/en/development/desa/population/publications/database/index.shtml" TargetMode="External"/><Relationship Id="rId3" Type="http://schemas.openxmlformats.org/officeDocument/2006/relationships/customXml" Target="../customXml/item3.xml"/><Relationship Id="rId12" Type="http://schemas.openxmlformats.org/officeDocument/2006/relationships/hyperlink" Target="https://earthexplorer.usgs.gov/" TargetMode="External"/><Relationship Id="rId17" Type="http://schemas.openxmlformats.org/officeDocument/2006/relationships/hyperlink" Target="https://www.ciesin.columbia.edu/data/hrsl/" TargetMode="External"/><Relationship Id="rId25" Type="http://schemas.openxmlformats.org/officeDocument/2006/relationships/hyperlink" Target="https://urban-tep.eu/puma/tool/" TargetMode="External"/><Relationship Id="rId33" Type="http://schemas.openxmlformats.org/officeDocument/2006/relationships/hyperlink" Target="https://unhabitat.org/wp-content/uploads/2019/02/Indicator-11.3.1-Training-Module_Land-Consumption_Jan-2019.pdf" TargetMode="External"/><Relationship Id="rId38" Type="http://schemas.openxmlformats.org/officeDocument/2006/relationships/hyperlink" Target="https://www.copernicus.eu/en/access-data/dias" TargetMode="External"/><Relationship Id="rId46" Type="http://schemas.openxmlformats.org/officeDocument/2006/relationships/hyperlink" Target="https://www.popgrid.org/home" TargetMode="External"/><Relationship Id="rId20" Type="http://schemas.openxmlformats.org/officeDocument/2006/relationships/hyperlink" Target="https://sedac.ciesin.columbia.edu/data/collection/gpw-v4" TargetMode="External"/><Relationship Id="rId41" Type="http://schemas.openxmlformats.org/officeDocument/2006/relationships/hyperlink" Target="https://ghsl.jrc.ec.europa.eu/data.ph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rban-tep.eu/puma/tool/?id=574795484&amp;lang=en" TargetMode="External"/><Relationship Id="rId23" Type="http://schemas.openxmlformats.org/officeDocument/2006/relationships/hyperlink" Target="https://ghsl.jrc.ec.europa.eu/tools.php" TargetMode="External"/><Relationship Id="rId28" Type="http://schemas.openxmlformats.org/officeDocument/2006/relationships/hyperlink" Target="https://www.earthobservations.org/activity.php?id=125" TargetMode="External"/><Relationship Id="rId36" Type="http://schemas.openxmlformats.org/officeDocument/2006/relationships/hyperlink" Target="https://ec.europa.eu/jrc/en/publication/eur-scientific-and-technical-research-reports/atlas-human-planet-mapping-human-presence-earth-global-human-settlement-layer" TargetMode="External"/><Relationship Id="rId49" Type="http://schemas.openxmlformats.org/officeDocument/2006/relationships/hyperlink" Target="http://www.worldpo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19D3E682D304793A8B9A1E28C4D6C" ma:contentTypeVersion="0" ma:contentTypeDescription="Create a new document." ma:contentTypeScope="" ma:versionID="17e5a901a96b623745e6fb877deb262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210C-AD6C-44A5-B6C9-1D1A97633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A61DA7-DBB2-47F9-BC91-66C4AB10D6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B1D6C1-5375-4104-87EA-7C144CD56008}">
  <ds:schemaRefs>
    <ds:schemaRef ds:uri="http://schemas.microsoft.com/sharepoint/v3/contenttype/forms"/>
  </ds:schemaRefs>
</ds:datastoreItem>
</file>

<file path=customXml/itemProps4.xml><?xml version="1.0" encoding="utf-8"?>
<ds:datastoreItem xmlns:ds="http://schemas.openxmlformats.org/officeDocument/2006/customXml" ds:itemID="{D4ABBBCE-91A8-B246-8ABA-E7A9AD70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9</Pages>
  <Words>5234</Words>
  <Characters>29837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Tøttrup</dc:creator>
  <cp:keywords/>
  <dc:description/>
  <cp:lastModifiedBy>Marc Paganini</cp:lastModifiedBy>
  <cp:revision>14</cp:revision>
  <dcterms:created xsi:type="dcterms:W3CDTF">2019-07-31T08:20:00Z</dcterms:created>
  <dcterms:modified xsi:type="dcterms:W3CDTF">2019-09-09T07:05:00Z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0x01010085819D3E682D304793A8B9A1E28C4D6C</vt:lpwstr>
  </property>
</Properties>
</file>