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238DE" w14:textId="77777777" w:rsidR="00B82266" w:rsidRPr="00D127D7" w:rsidRDefault="00B82266">
      <w:bookmarkStart w:id="0" w:name="_GoBack"/>
      <w:bookmarkEnd w:id="0"/>
    </w:p>
    <w:tbl>
      <w:tblPr>
        <w:tblStyle w:val="TableGrid"/>
        <w:tblW w:w="9657" w:type="dxa"/>
        <w:tblInd w:w="567" w:type="dxa"/>
        <w:tblLayout w:type="fixed"/>
        <w:tblLook w:val="04A0" w:firstRow="1" w:lastRow="0" w:firstColumn="1" w:lastColumn="0" w:noHBand="0" w:noVBand="1"/>
      </w:tblPr>
      <w:tblGrid>
        <w:gridCol w:w="1412"/>
        <w:gridCol w:w="7230"/>
        <w:gridCol w:w="567"/>
        <w:gridCol w:w="448"/>
      </w:tblGrid>
      <w:tr w:rsidR="00FB2842" w:rsidRPr="00D127D7" w14:paraId="1182E128" w14:textId="77777777" w:rsidTr="005411D9">
        <w:tc>
          <w:tcPr>
            <w:tcW w:w="1412" w:type="dxa"/>
            <w:shd w:val="clear" w:color="auto" w:fill="D9D9D9"/>
          </w:tcPr>
          <w:p w14:paraId="15BC5197" w14:textId="77777777" w:rsidR="00FB2842" w:rsidRPr="00D127D7" w:rsidRDefault="00FB2842" w:rsidP="0002778B">
            <w:pPr>
              <w:tabs>
                <w:tab w:val="left" w:pos="2126"/>
              </w:tabs>
              <w:spacing w:before="120" w:after="80" w:line="240" w:lineRule="atLeast"/>
              <w:rPr>
                <w:rFonts w:ascii="Arial" w:hAnsi="Arial"/>
                <w:b/>
                <w:color w:val="005A8C"/>
                <w:sz w:val="18"/>
                <w:lang w:val="en-GB"/>
              </w:rPr>
            </w:pPr>
            <w:r w:rsidRPr="00D127D7">
              <w:rPr>
                <w:rFonts w:ascii="Arial" w:hAnsi="Arial"/>
                <w:b/>
                <w:color w:val="005A8C"/>
                <w:sz w:val="18"/>
                <w:lang w:val="en-GB"/>
              </w:rPr>
              <w:t>Indicator</w:t>
            </w:r>
          </w:p>
        </w:tc>
        <w:tc>
          <w:tcPr>
            <w:tcW w:w="8245" w:type="dxa"/>
            <w:gridSpan w:val="3"/>
          </w:tcPr>
          <w:p w14:paraId="04782DD4" w14:textId="0795619F" w:rsidR="00FB2842" w:rsidRPr="00D127D7" w:rsidRDefault="00FD71D7" w:rsidP="003F4CB1">
            <w:pPr>
              <w:tabs>
                <w:tab w:val="left" w:pos="2126"/>
              </w:tabs>
              <w:spacing w:before="120" w:after="80" w:line="240" w:lineRule="atLeast"/>
              <w:rPr>
                <w:rFonts w:ascii="Arial" w:hAnsi="Arial"/>
                <w:sz w:val="18"/>
                <w:lang w:val="en-GB"/>
              </w:rPr>
            </w:pPr>
            <w:r w:rsidRPr="00D127D7">
              <w:rPr>
                <w:rFonts w:ascii="Arial" w:hAnsi="Arial"/>
                <w:sz w:val="18"/>
                <w:lang w:val="en-GB"/>
              </w:rPr>
              <w:t>15.3</w:t>
            </w:r>
            <w:r w:rsidR="003F4CB1" w:rsidRPr="00D127D7">
              <w:rPr>
                <w:rFonts w:ascii="Arial" w:hAnsi="Arial"/>
                <w:sz w:val="18"/>
                <w:lang w:val="en-GB"/>
              </w:rPr>
              <w:t>.1</w:t>
            </w:r>
            <w:r w:rsidR="00906DB8" w:rsidRPr="00D127D7">
              <w:rPr>
                <w:rFonts w:ascii="Arial" w:hAnsi="Arial"/>
                <w:sz w:val="18"/>
                <w:lang w:val="en-GB"/>
              </w:rPr>
              <w:t xml:space="preserve"> Proportion of land that is degraded over total land area</w:t>
            </w:r>
            <w:r w:rsidR="007834A5" w:rsidRPr="00D127D7">
              <w:rPr>
                <w:rFonts w:ascii="Arial" w:hAnsi="Arial"/>
                <w:sz w:val="18"/>
                <w:lang w:val="en-GB"/>
              </w:rPr>
              <w:t>.</w:t>
            </w:r>
          </w:p>
        </w:tc>
      </w:tr>
      <w:tr w:rsidR="00FB2842" w:rsidRPr="00D127D7" w14:paraId="2273EDF9" w14:textId="77777777" w:rsidTr="005411D9">
        <w:tc>
          <w:tcPr>
            <w:tcW w:w="1412" w:type="dxa"/>
          </w:tcPr>
          <w:p w14:paraId="6504656A" w14:textId="77777777" w:rsidR="00FB2842" w:rsidRPr="00D127D7" w:rsidRDefault="00FB2842" w:rsidP="0002778B">
            <w:pPr>
              <w:tabs>
                <w:tab w:val="left" w:pos="2126"/>
              </w:tabs>
              <w:spacing w:before="120" w:after="80" w:line="240" w:lineRule="atLeast"/>
              <w:rPr>
                <w:rFonts w:ascii="Arial" w:hAnsi="Arial"/>
                <w:color w:val="005A8C"/>
                <w:sz w:val="18"/>
                <w:lang w:val="en-GB"/>
              </w:rPr>
            </w:pPr>
            <w:r w:rsidRPr="00D127D7">
              <w:rPr>
                <w:rFonts w:ascii="Arial" w:hAnsi="Arial"/>
                <w:color w:val="005A8C"/>
                <w:sz w:val="18"/>
                <w:lang w:val="en-GB"/>
              </w:rPr>
              <w:t>Target</w:t>
            </w:r>
          </w:p>
        </w:tc>
        <w:tc>
          <w:tcPr>
            <w:tcW w:w="8245" w:type="dxa"/>
            <w:gridSpan w:val="3"/>
          </w:tcPr>
          <w:p w14:paraId="367ADCC3" w14:textId="26CB02FE" w:rsidR="00FB2842" w:rsidRPr="00D127D7" w:rsidRDefault="00906DB8" w:rsidP="0002778B">
            <w:pPr>
              <w:tabs>
                <w:tab w:val="left" w:pos="2126"/>
              </w:tabs>
              <w:spacing w:before="120" w:after="80" w:line="240" w:lineRule="atLeast"/>
              <w:rPr>
                <w:rFonts w:ascii="Arial" w:hAnsi="Arial"/>
                <w:sz w:val="18"/>
                <w:lang w:val="en-GB"/>
              </w:rPr>
            </w:pPr>
            <w:r w:rsidRPr="00D127D7">
              <w:rPr>
                <w:rFonts w:ascii="Arial" w:hAnsi="Arial"/>
                <w:sz w:val="18"/>
                <w:lang w:val="en-GB"/>
              </w:rPr>
              <w:t>15.3 By 2030, combat desertification, restore degraded land and soil, including land affected by desertification, drought and floods, and strive to achieve a land degradation-neutral world.</w:t>
            </w:r>
          </w:p>
        </w:tc>
      </w:tr>
      <w:tr w:rsidR="001A0079" w:rsidRPr="00D127D7" w14:paraId="15DF8AD1" w14:textId="77777777" w:rsidTr="005411D9">
        <w:tc>
          <w:tcPr>
            <w:tcW w:w="1412" w:type="dxa"/>
          </w:tcPr>
          <w:p w14:paraId="494ABDB0" w14:textId="3CC5DB2E" w:rsidR="00FB2842" w:rsidRPr="00D127D7" w:rsidRDefault="00FB2842" w:rsidP="0002778B">
            <w:pPr>
              <w:tabs>
                <w:tab w:val="left" w:pos="2126"/>
              </w:tabs>
              <w:spacing w:before="120" w:after="80" w:line="240" w:lineRule="atLeast"/>
              <w:rPr>
                <w:rFonts w:ascii="Arial" w:hAnsi="Arial"/>
                <w:color w:val="005A8C"/>
                <w:sz w:val="18"/>
                <w:lang w:val="en-GB"/>
              </w:rPr>
            </w:pPr>
            <w:r w:rsidRPr="00D127D7">
              <w:rPr>
                <w:rFonts w:ascii="Arial" w:hAnsi="Arial"/>
                <w:color w:val="005A8C"/>
                <w:sz w:val="18"/>
                <w:lang w:val="en-GB"/>
              </w:rPr>
              <w:t>Custodian</w:t>
            </w:r>
          </w:p>
        </w:tc>
        <w:tc>
          <w:tcPr>
            <w:tcW w:w="7230" w:type="dxa"/>
          </w:tcPr>
          <w:p w14:paraId="535BE639" w14:textId="40BB1EC0" w:rsidR="007B6C9E" w:rsidRPr="00D127D7" w:rsidRDefault="00906DB8" w:rsidP="001C5B12">
            <w:pPr>
              <w:tabs>
                <w:tab w:val="left" w:pos="2126"/>
              </w:tabs>
              <w:spacing w:before="120" w:after="80" w:line="240" w:lineRule="atLeast"/>
              <w:rPr>
                <w:rFonts w:ascii="Arial" w:hAnsi="Arial"/>
                <w:sz w:val="18"/>
                <w:lang w:val="en-GB"/>
              </w:rPr>
            </w:pPr>
            <w:r w:rsidRPr="00D127D7">
              <w:rPr>
                <w:rFonts w:ascii="Arial" w:hAnsi="Arial"/>
                <w:sz w:val="18"/>
                <w:lang w:val="en-GB"/>
              </w:rPr>
              <w:t xml:space="preserve">United Nations Convention to Combat Desertification (UNCCD) </w:t>
            </w:r>
          </w:p>
        </w:tc>
        <w:tc>
          <w:tcPr>
            <w:tcW w:w="567" w:type="dxa"/>
          </w:tcPr>
          <w:p w14:paraId="079BF805" w14:textId="654125AD" w:rsidR="00FB2842" w:rsidRPr="00D127D7" w:rsidRDefault="00FB2842" w:rsidP="0002778B">
            <w:pPr>
              <w:tabs>
                <w:tab w:val="left" w:pos="2126"/>
              </w:tabs>
              <w:spacing w:before="120" w:after="80" w:line="240" w:lineRule="atLeast"/>
              <w:rPr>
                <w:rFonts w:ascii="Arial" w:hAnsi="Arial"/>
                <w:color w:val="005A8C"/>
                <w:sz w:val="18"/>
                <w:lang w:val="en-GB"/>
              </w:rPr>
            </w:pPr>
            <w:r w:rsidRPr="00D127D7">
              <w:rPr>
                <w:rFonts w:ascii="Arial" w:hAnsi="Arial"/>
                <w:color w:val="005A8C"/>
                <w:sz w:val="18"/>
                <w:lang w:val="en-GB"/>
              </w:rPr>
              <w:t>Tier</w:t>
            </w:r>
          </w:p>
        </w:tc>
        <w:tc>
          <w:tcPr>
            <w:tcW w:w="448" w:type="dxa"/>
          </w:tcPr>
          <w:p w14:paraId="05868D18" w14:textId="53535F89" w:rsidR="00FB2842" w:rsidRPr="00D127D7" w:rsidRDefault="00FB2842" w:rsidP="0002778B">
            <w:pPr>
              <w:tabs>
                <w:tab w:val="left" w:pos="2126"/>
              </w:tabs>
              <w:spacing w:before="120" w:after="80" w:line="240" w:lineRule="atLeast"/>
              <w:rPr>
                <w:rFonts w:ascii="Arial" w:hAnsi="Arial"/>
                <w:sz w:val="18"/>
                <w:lang w:val="en-GB"/>
              </w:rPr>
            </w:pPr>
            <w:r w:rsidRPr="00D127D7">
              <w:rPr>
                <w:rFonts w:ascii="Arial" w:hAnsi="Arial"/>
                <w:sz w:val="18"/>
                <w:lang w:val="en-GB"/>
              </w:rPr>
              <w:t>II</w:t>
            </w:r>
          </w:p>
        </w:tc>
      </w:tr>
      <w:tr w:rsidR="00990C46" w:rsidRPr="00D127D7" w14:paraId="6E872A39" w14:textId="77777777" w:rsidTr="005411D9">
        <w:tc>
          <w:tcPr>
            <w:tcW w:w="1412" w:type="dxa"/>
          </w:tcPr>
          <w:p w14:paraId="7A31FCA8" w14:textId="57964FD7" w:rsidR="00990C46" w:rsidRPr="00D127D7" w:rsidRDefault="00990C46" w:rsidP="0002778B">
            <w:pPr>
              <w:tabs>
                <w:tab w:val="left" w:pos="2126"/>
              </w:tabs>
              <w:spacing w:before="120" w:after="80" w:line="240" w:lineRule="atLeast"/>
              <w:rPr>
                <w:rFonts w:ascii="Arial" w:hAnsi="Arial"/>
                <w:color w:val="005A8C"/>
                <w:sz w:val="18"/>
              </w:rPr>
            </w:pPr>
            <w:r w:rsidRPr="00D127D7">
              <w:rPr>
                <w:rFonts w:ascii="Arial" w:hAnsi="Arial"/>
                <w:color w:val="005A8C"/>
                <w:sz w:val="18"/>
                <w:lang w:val="en-GB"/>
              </w:rPr>
              <w:t>Current approach and challenges</w:t>
            </w:r>
          </w:p>
        </w:tc>
        <w:tc>
          <w:tcPr>
            <w:tcW w:w="8245" w:type="dxa"/>
            <w:gridSpan w:val="3"/>
          </w:tcPr>
          <w:p w14:paraId="335F1CB7" w14:textId="4D220F05" w:rsidR="00990C46" w:rsidRPr="00D127D7" w:rsidRDefault="00990C46" w:rsidP="00990C46">
            <w:pPr>
              <w:tabs>
                <w:tab w:val="left" w:pos="2126"/>
              </w:tabs>
              <w:spacing w:before="120" w:after="80" w:line="240" w:lineRule="atLeast"/>
              <w:rPr>
                <w:rFonts w:ascii="Arial" w:hAnsi="Arial"/>
                <w:sz w:val="18"/>
                <w:lang w:val="en-GB"/>
              </w:rPr>
            </w:pPr>
            <w:r w:rsidRPr="0082223F">
              <w:rPr>
                <w:rFonts w:ascii="Arial" w:hAnsi="Arial"/>
                <w:sz w:val="18"/>
                <w:lang w:val="en-US"/>
              </w:rPr>
              <w:t xml:space="preserve">UNCCD </w:t>
            </w:r>
            <w:r>
              <w:rPr>
                <w:rFonts w:ascii="Arial" w:hAnsi="Arial"/>
                <w:sz w:val="18"/>
                <w:lang w:val="en-US"/>
              </w:rPr>
              <w:t xml:space="preserve">has </w:t>
            </w:r>
            <w:r w:rsidRPr="0082223F">
              <w:rPr>
                <w:rFonts w:ascii="Arial" w:hAnsi="Arial"/>
                <w:sz w:val="18"/>
                <w:lang w:val="en-US"/>
              </w:rPr>
              <w:t xml:space="preserve">defined </w:t>
            </w:r>
            <w:r w:rsidR="00091B38">
              <w:rPr>
                <w:rFonts w:ascii="Arial" w:hAnsi="Arial"/>
                <w:sz w:val="18"/>
                <w:lang w:val="en-US"/>
              </w:rPr>
              <w:t xml:space="preserve">these </w:t>
            </w:r>
            <w:r>
              <w:rPr>
                <w:rFonts w:ascii="Arial" w:hAnsi="Arial"/>
                <w:sz w:val="18"/>
                <w:lang w:val="en-US"/>
              </w:rPr>
              <w:t>components of the SDG indicator 15.3.1</w:t>
            </w:r>
            <w:r w:rsidRPr="0082223F">
              <w:rPr>
                <w:rFonts w:ascii="Arial" w:hAnsi="Arial"/>
                <w:sz w:val="18"/>
                <w:lang w:val="en-US"/>
              </w:rPr>
              <w:t xml:space="preserve">– To Improve the conditions of affected ecosystems – including </w:t>
            </w:r>
            <w:proofErr w:type="spellStart"/>
            <w:r w:rsidRPr="0082223F">
              <w:rPr>
                <w:rFonts w:ascii="Arial" w:hAnsi="Arial"/>
                <w:sz w:val="18"/>
                <w:lang w:val="en-US"/>
              </w:rPr>
              <w:t>i</w:t>
            </w:r>
            <w:proofErr w:type="spellEnd"/>
            <w:r w:rsidRPr="0082223F">
              <w:rPr>
                <w:rFonts w:ascii="Arial" w:hAnsi="Arial"/>
                <w:sz w:val="18"/>
                <w:lang w:val="en-US"/>
              </w:rPr>
              <w:t xml:space="preserve">) trends in land cover (SO 1-1), trends in land </w:t>
            </w:r>
            <w:proofErr w:type="spellStart"/>
            <w:r w:rsidRPr="0082223F">
              <w:rPr>
                <w:rFonts w:ascii="Arial" w:hAnsi="Arial"/>
                <w:sz w:val="18"/>
                <w:lang w:val="en-US"/>
              </w:rPr>
              <w:t>pr</w:t>
            </w:r>
            <w:r>
              <w:rPr>
                <w:rFonts w:ascii="Arial" w:hAnsi="Arial"/>
                <w:sz w:val="18"/>
                <w:lang w:val="en-GB"/>
              </w:rPr>
              <w:t>o</w:t>
            </w:r>
            <w:r w:rsidRPr="00D127D7">
              <w:rPr>
                <w:rFonts w:ascii="Arial" w:hAnsi="Arial"/>
                <w:sz w:val="18"/>
                <w:lang w:val="en-GB"/>
              </w:rPr>
              <w:t>ductivity</w:t>
            </w:r>
            <w:proofErr w:type="spellEnd"/>
            <w:r w:rsidRPr="00D127D7">
              <w:rPr>
                <w:rFonts w:ascii="Arial" w:hAnsi="Arial"/>
                <w:sz w:val="18"/>
                <w:lang w:val="en-GB"/>
              </w:rPr>
              <w:t xml:space="preserve"> of functioning of the land (SO 1-2) and iii) trends in carbon stocks above and below ground (SO 1-3). With the Good Practice Guidance (GPG, Version 1.0, 2017), the UNCCD has established a universal methodology for reporting on SDG 15.3.1. </w:t>
            </w:r>
          </w:p>
          <w:p w14:paraId="6F5D625B" w14:textId="77777777" w:rsidR="00231573" w:rsidRDefault="00990C46" w:rsidP="00214C0B">
            <w:pPr>
              <w:tabs>
                <w:tab w:val="left" w:pos="2126"/>
              </w:tabs>
              <w:spacing w:before="120" w:after="80" w:line="240" w:lineRule="atLeast"/>
              <w:rPr>
                <w:rFonts w:ascii="Arial" w:hAnsi="Arial"/>
                <w:b/>
                <w:sz w:val="18"/>
                <w:lang w:val="en-GB"/>
              </w:rPr>
            </w:pPr>
            <w:r w:rsidRPr="003B3BD7">
              <w:rPr>
                <w:rFonts w:ascii="Arial" w:hAnsi="Arial"/>
                <w:b/>
                <w:sz w:val="18"/>
                <w:u w:val="single"/>
              </w:rPr>
              <w:t>Approach</w:t>
            </w:r>
            <w:r w:rsidRPr="00D127D7">
              <w:rPr>
                <w:rFonts w:ascii="Arial" w:hAnsi="Arial"/>
                <w:b/>
                <w:sz w:val="18"/>
                <w:lang w:val="en-GB"/>
              </w:rPr>
              <w:t>:</w:t>
            </w:r>
            <w:r w:rsidR="00214C0B">
              <w:rPr>
                <w:rFonts w:ascii="Arial" w:hAnsi="Arial"/>
                <w:b/>
                <w:sz w:val="18"/>
                <w:lang w:val="en-GB"/>
              </w:rPr>
              <w:t xml:space="preserve"> </w:t>
            </w:r>
          </w:p>
          <w:p w14:paraId="28BB022F" w14:textId="0E1FA72F" w:rsidR="00214C0B" w:rsidRDefault="00E46F0A" w:rsidP="00214C0B">
            <w:pPr>
              <w:tabs>
                <w:tab w:val="left" w:pos="2126"/>
              </w:tabs>
              <w:spacing w:before="120" w:after="80" w:line="240" w:lineRule="atLeast"/>
              <w:rPr>
                <w:rFonts w:ascii="Arial" w:hAnsi="Arial"/>
                <w:sz w:val="18"/>
                <w:lang w:val="en-US"/>
              </w:rPr>
            </w:pPr>
            <w:r w:rsidRPr="00E46F0A">
              <w:rPr>
                <w:rFonts w:ascii="Arial" w:hAnsi="Arial"/>
                <w:bCs/>
                <w:sz w:val="18"/>
                <w:lang w:val="en-GB"/>
              </w:rPr>
              <w:t>The indicator aims a</w:t>
            </w:r>
            <w:r>
              <w:rPr>
                <w:rFonts w:ascii="Arial" w:hAnsi="Arial"/>
                <w:bCs/>
                <w:sz w:val="18"/>
                <w:lang w:val="en-GB"/>
              </w:rPr>
              <w:t>t</w:t>
            </w:r>
            <w:r w:rsidRPr="00E46F0A">
              <w:rPr>
                <w:rFonts w:ascii="Arial" w:hAnsi="Arial"/>
                <w:bCs/>
                <w:sz w:val="18"/>
                <w:lang w:val="en-GB"/>
              </w:rPr>
              <w:t xml:space="preserve"> measuring and monitoring land degradation</w:t>
            </w:r>
            <w:r>
              <w:rPr>
                <w:rFonts w:ascii="Arial" w:hAnsi="Arial"/>
                <w:bCs/>
                <w:sz w:val="18"/>
                <w:lang w:val="en-GB"/>
              </w:rPr>
              <w:t xml:space="preserve"> by calculating the ratio between the degraded land area and the total land area of a country</w:t>
            </w:r>
            <w:r w:rsidRPr="00E46F0A">
              <w:rPr>
                <w:rFonts w:ascii="Arial" w:hAnsi="Arial"/>
                <w:bCs/>
                <w:sz w:val="18"/>
                <w:lang w:val="en-GB"/>
              </w:rPr>
              <w:t>.</w:t>
            </w:r>
            <w:r>
              <w:rPr>
                <w:rFonts w:ascii="Arial" w:hAnsi="Arial"/>
                <w:b/>
                <w:sz w:val="18"/>
                <w:lang w:val="en-GB"/>
              </w:rPr>
              <w:t xml:space="preserve"> </w:t>
            </w:r>
            <w:r w:rsidR="00214C0B">
              <w:rPr>
                <w:rFonts w:ascii="Arial" w:hAnsi="Arial"/>
                <w:sz w:val="18"/>
                <w:lang w:val="en-US"/>
              </w:rPr>
              <w:t>L</w:t>
            </w:r>
            <w:r w:rsidR="00214C0B" w:rsidRPr="0082223F">
              <w:rPr>
                <w:rFonts w:ascii="Arial" w:hAnsi="Arial"/>
                <w:sz w:val="18"/>
                <w:lang w:val="en-US"/>
              </w:rPr>
              <w:t>and degradation is defined as “</w:t>
            </w:r>
            <w:r w:rsidR="00214C0B" w:rsidRPr="000E6F41">
              <w:rPr>
                <w:rFonts w:ascii="Arial" w:hAnsi="Arial"/>
                <w:i/>
                <w:sz w:val="18"/>
                <w:lang w:val="en-US"/>
              </w:rPr>
              <w:t>the reduction or loss of the biological or economic productivity and complexity of rain fed cropland, irrigated cropland, or range, pasture, forest and woodlands resulting from a combination of pressures, including land use and management practices</w:t>
            </w:r>
            <w:r w:rsidR="00214C0B" w:rsidRPr="0082223F">
              <w:rPr>
                <w:rFonts w:ascii="Arial" w:hAnsi="Arial"/>
                <w:sz w:val="18"/>
                <w:lang w:val="en-US"/>
              </w:rPr>
              <w:t>”</w:t>
            </w:r>
            <w:r w:rsidR="00214C0B">
              <w:rPr>
                <w:rFonts w:ascii="Arial" w:hAnsi="Arial"/>
                <w:sz w:val="18"/>
                <w:lang w:val="en-US"/>
              </w:rPr>
              <w:t xml:space="preserve"> (GPG, Version 1.0)</w:t>
            </w:r>
            <w:r w:rsidR="00214C0B" w:rsidRPr="0082223F">
              <w:rPr>
                <w:rFonts w:ascii="Arial" w:hAnsi="Arial"/>
                <w:sz w:val="18"/>
                <w:lang w:val="en-US"/>
              </w:rPr>
              <w:t>.</w:t>
            </w:r>
            <w:r w:rsidR="00214C0B" w:rsidRPr="00214C0B">
              <w:rPr>
                <w:rFonts w:ascii="Arial" w:hAnsi="Arial"/>
                <w:sz w:val="18"/>
                <w:lang w:val="en-US"/>
              </w:rPr>
              <w:t>The total proportion of land that is degraded over total land area is given by:</w:t>
            </w:r>
          </w:p>
          <w:p w14:paraId="691E2767" w14:textId="31C6BB39" w:rsidR="00214C0B" w:rsidRDefault="00275626" w:rsidP="00214C0B">
            <w:pPr>
              <w:tabs>
                <w:tab w:val="left" w:pos="2126"/>
              </w:tabs>
              <w:spacing w:before="120" w:after="80" w:line="240" w:lineRule="atLeast"/>
              <w:rPr>
                <w:rFonts w:ascii="Arial" w:hAnsi="Arial"/>
                <w:sz w:val="18"/>
                <w:lang w:val="en-US"/>
              </w:rPr>
            </w:pPr>
            <m:oMathPara>
              <m:oMath>
                <m:sSub>
                  <m:sSubPr>
                    <m:ctrlPr>
                      <w:rPr>
                        <w:rFonts w:ascii="Cambria Math" w:hAnsi="Cambria Math"/>
                        <w:i/>
                        <w:sz w:val="18"/>
                        <w:lang w:val="en-US"/>
                      </w:rPr>
                    </m:ctrlPr>
                  </m:sSubPr>
                  <m:e>
                    <m:r>
                      <w:rPr>
                        <w:rFonts w:ascii="Cambria Math" w:hAnsi="Cambria Math"/>
                        <w:sz w:val="18"/>
                        <w:lang w:val="en-US"/>
                      </w:rPr>
                      <m:t>P</m:t>
                    </m:r>
                  </m:e>
                  <m:sub>
                    <m:r>
                      <w:rPr>
                        <w:rFonts w:ascii="Cambria Math" w:hAnsi="Cambria Math"/>
                        <w:sz w:val="18"/>
                        <w:lang w:val="en-US"/>
                      </w:rPr>
                      <m:t>n</m:t>
                    </m:r>
                  </m:sub>
                </m:sSub>
                <m:r>
                  <w:rPr>
                    <w:rFonts w:ascii="Cambria Math" w:hAnsi="Cambria Math"/>
                    <w:sz w:val="18"/>
                    <w:lang w:val="en-US"/>
                  </w:rPr>
                  <m:t xml:space="preserve">= </m:t>
                </m:r>
                <m:f>
                  <m:fPr>
                    <m:ctrlPr>
                      <w:rPr>
                        <w:rFonts w:ascii="Cambria Math" w:hAnsi="Cambria Math"/>
                        <w:i/>
                        <w:sz w:val="18"/>
                        <w:lang w:val="en-US"/>
                      </w:rPr>
                    </m:ctrlPr>
                  </m:fPr>
                  <m:num>
                    <m:sSub>
                      <m:sSubPr>
                        <m:ctrlPr>
                          <w:rPr>
                            <w:rFonts w:ascii="Cambria Math" w:hAnsi="Cambria Math"/>
                            <w:i/>
                            <w:sz w:val="18"/>
                            <w:lang w:val="en-US"/>
                          </w:rPr>
                        </m:ctrlPr>
                      </m:sSubPr>
                      <m:e>
                        <m:r>
                          <w:rPr>
                            <w:rFonts w:ascii="Cambria Math" w:hAnsi="Cambria Math"/>
                            <w:sz w:val="18"/>
                            <w:lang w:val="en-US"/>
                          </w:rPr>
                          <m:t>A(degraded)</m:t>
                        </m:r>
                      </m:e>
                      <m:sub>
                        <m:r>
                          <w:rPr>
                            <w:rFonts w:ascii="Cambria Math" w:hAnsi="Cambria Math"/>
                            <w:sz w:val="18"/>
                            <w:lang w:val="en-US"/>
                          </w:rPr>
                          <m:t>n</m:t>
                        </m:r>
                      </m:sub>
                    </m:sSub>
                  </m:num>
                  <m:den>
                    <m:nary>
                      <m:naryPr>
                        <m:chr m:val="∑"/>
                        <m:limLoc m:val="undOvr"/>
                        <m:ctrlPr>
                          <w:rPr>
                            <w:rFonts w:ascii="Cambria Math" w:hAnsi="Cambria Math"/>
                            <w:i/>
                            <w:sz w:val="18"/>
                            <w:lang w:val="en-US"/>
                          </w:rPr>
                        </m:ctrlPr>
                      </m:naryPr>
                      <m:sub>
                        <m:r>
                          <w:rPr>
                            <w:rFonts w:ascii="Cambria Math" w:hAnsi="Cambria Math"/>
                            <w:sz w:val="18"/>
                            <w:lang w:val="en-US"/>
                          </w:rPr>
                          <m:t>i</m:t>
                        </m:r>
                      </m:sub>
                      <m:sup>
                        <m:r>
                          <w:rPr>
                            <w:rFonts w:ascii="Cambria Math" w:hAnsi="Cambria Math"/>
                            <w:sz w:val="18"/>
                            <w:lang w:val="en-US"/>
                          </w:rPr>
                          <m:t>m</m:t>
                        </m:r>
                      </m:sup>
                      <m:e>
                        <m:r>
                          <w:rPr>
                            <w:rFonts w:ascii="Cambria Math" w:hAnsi="Cambria Math"/>
                            <w:sz w:val="18"/>
                            <w:lang w:val="en-US"/>
                          </w:rPr>
                          <m:t>A(Total)</m:t>
                        </m:r>
                      </m:e>
                    </m:nary>
                  </m:den>
                </m:f>
              </m:oMath>
            </m:oMathPara>
          </w:p>
          <w:p w14:paraId="07F5AF6B" w14:textId="17C514DB" w:rsidR="00094FE6" w:rsidRDefault="006E509E" w:rsidP="00990C46">
            <w:pPr>
              <w:tabs>
                <w:tab w:val="left" w:pos="2126"/>
              </w:tabs>
              <w:spacing w:before="120" w:after="80" w:line="240" w:lineRule="atLeast"/>
              <w:rPr>
                <w:rFonts w:ascii="Arial" w:hAnsi="Arial"/>
                <w:bCs/>
                <w:sz w:val="18"/>
                <w:lang w:val="en-US"/>
              </w:rPr>
            </w:pPr>
            <w:r>
              <w:rPr>
                <w:rFonts w:ascii="Arial" w:hAnsi="Arial"/>
                <w:bCs/>
                <w:sz w:val="18"/>
                <w:lang w:val="en-US"/>
              </w:rPr>
              <w:t>w</w:t>
            </w:r>
            <w:r w:rsidR="00094FE6" w:rsidRPr="00094FE6">
              <w:rPr>
                <w:rFonts w:ascii="Arial" w:hAnsi="Arial"/>
                <w:bCs/>
                <w:sz w:val="18"/>
                <w:lang w:val="en-US"/>
              </w:rPr>
              <w:t xml:space="preserve">here </w:t>
            </w:r>
            <w:r w:rsidR="00094FE6" w:rsidRPr="00094FE6">
              <w:rPr>
                <w:rFonts w:ascii="Cambria Math" w:hAnsi="Cambria Math" w:cs="Cambria Math"/>
                <w:bCs/>
                <w:sz w:val="18"/>
                <w:lang w:val="en-US"/>
              </w:rPr>
              <w:t>𝑃</w:t>
            </w:r>
            <w:r w:rsidR="00094FE6" w:rsidRPr="00094FE6">
              <w:rPr>
                <w:rFonts w:ascii="Arial" w:hAnsi="Arial"/>
                <w:bCs/>
                <w:sz w:val="18"/>
                <w:lang w:val="en-US"/>
              </w:rPr>
              <w:t>n is the proportion of land that is degraded over total land area;</w:t>
            </w:r>
            <w:r w:rsidR="00094FE6">
              <w:rPr>
                <w:rFonts w:ascii="Arial" w:hAnsi="Arial"/>
                <w:bCs/>
                <w:sz w:val="18"/>
                <w:lang w:val="en-US"/>
              </w:rPr>
              <w:t xml:space="preserve"> </w:t>
            </w:r>
            <w:r w:rsidR="00094FE6" w:rsidRPr="00094FE6">
              <w:rPr>
                <w:rFonts w:ascii="Cambria Math" w:hAnsi="Cambria Math" w:cs="Cambria Math"/>
                <w:bCs/>
                <w:sz w:val="18"/>
                <w:lang w:val="en-US"/>
              </w:rPr>
              <w:t>𝐴</w:t>
            </w:r>
            <w:r w:rsidR="00094FE6" w:rsidRPr="00094FE6">
              <w:rPr>
                <w:rFonts w:ascii="Arial" w:hAnsi="Arial"/>
                <w:bCs/>
                <w:sz w:val="18"/>
                <w:lang w:val="en-US"/>
              </w:rPr>
              <w:t>(</w:t>
            </w:r>
            <w:r w:rsidR="00094FE6" w:rsidRPr="00094FE6">
              <w:rPr>
                <w:rFonts w:ascii="Cambria Math" w:hAnsi="Cambria Math" w:cs="Cambria Math"/>
                <w:bCs/>
                <w:sz w:val="18"/>
                <w:lang w:val="en-US"/>
              </w:rPr>
              <w:t>𝐷𝑒𝑔𝑟𝑎𝑑𝑒𝑑</w:t>
            </w:r>
            <w:r w:rsidR="00094FE6" w:rsidRPr="00094FE6">
              <w:rPr>
                <w:rFonts w:ascii="Arial" w:hAnsi="Arial"/>
                <w:bCs/>
                <w:sz w:val="18"/>
                <w:lang w:val="en-US"/>
              </w:rPr>
              <w:t>)n is the total area degraded in the year of monitoring n (ha)</w:t>
            </w:r>
            <w:r w:rsidR="00094FE6">
              <w:rPr>
                <w:rFonts w:ascii="Arial" w:hAnsi="Arial"/>
                <w:bCs/>
                <w:sz w:val="18"/>
                <w:lang w:val="en-US"/>
              </w:rPr>
              <w:t xml:space="preserve"> and </w:t>
            </w:r>
            <w:r w:rsidR="00094FE6" w:rsidRPr="00094FE6">
              <w:rPr>
                <w:rFonts w:ascii="Arial" w:hAnsi="Arial"/>
                <w:bCs/>
                <w:sz w:val="18"/>
                <w:lang w:val="en-US"/>
              </w:rPr>
              <w:t>A(Total) is the total area within the national boundary (ha)</w:t>
            </w:r>
            <w:r w:rsidR="00094FE6">
              <w:rPr>
                <w:rFonts w:ascii="Arial" w:hAnsi="Arial"/>
                <w:bCs/>
                <w:sz w:val="18"/>
                <w:lang w:val="en-US"/>
              </w:rPr>
              <w:t xml:space="preserve">. </w:t>
            </w:r>
          </w:p>
          <w:p w14:paraId="62DD5B21" w14:textId="00F2A00A" w:rsidR="00990C46" w:rsidRPr="00094FE6" w:rsidRDefault="00094FE6" w:rsidP="00990C46">
            <w:pPr>
              <w:tabs>
                <w:tab w:val="left" w:pos="2126"/>
              </w:tabs>
              <w:spacing w:before="120" w:after="80" w:line="240" w:lineRule="atLeast"/>
              <w:rPr>
                <w:rFonts w:ascii="Arial" w:hAnsi="Arial"/>
                <w:sz w:val="18"/>
                <w:lang w:val="en-US"/>
              </w:rPr>
            </w:pPr>
            <w:r>
              <w:rPr>
                <w:rFonts w:ascii="Arial" w:hAnsi="Arial"/>
                <w:bCs/>
                <w:sz w:val="18"/>
                <w:lang w:val="en-US"/>
              </w:rPr>
              <w:t xml:space="preserve">The </w:t>
            </w:r>
            <w:r w:rsidRPr="00D127D7">
              <w:rPr>
                <w:rFonts w:ascii="Arial" w:hAnsi="Arial"/>
                <w:sz w:val="18"/>
                <w:lang w:val="en-GB"/>
              </w:rPr>
              <w:t xml:space="preserve">indicator is a binary - degraded/not degraded - quantification based </w:t>
            </w:r>
            <w:r w:rsidRPr="001B7D4B">
              <w:rPr>
                <w:rFonts w:ascii="Arial" w:hAnsi="Arial"/>
                <w:sz w:val="18"/>
                <w:lang w:val="en-GB"/>
              </w:rPr>
              <w:t>on the assessment of three</w:t>
            </w:r>
            <w:r>
              <w:rPr>
                <w:rFonts w:ascii="Arial" w:hAnsi="Arial"/>
                <w:sz w:val="18"/>
                <w:lang w:val="en-GB"/>
              </w:rPr>
              <w:t xml:space="preserve"> </w:t>
            </w:r>
            <w:r w:rsidR="00990C46" w:rsidRPr="00D127D7">
              <w:rPr>
                <w:rFonts w:ascii="Arial" w:hAnsi="Arial"/>
                <w:sz w:val="18"/>
                <w:lang w:val="en-GB"/>
              </w:rPr>
              <w:t>sub-indicators (Land cover and land cover changes, land productivity changes and carbon stock changes above and below ground)</w:t>
            </w:r>
            <w:r>
              <w:rPr>
                <w:rFonts w:ascii="Arial" w:hAnsi="Arial"/>
                <w:sz w:val="18"/>
                <w:lang w:val="en-GB"/>
              </w:rPr>
              <w:t xml:space="preserve">, which </w:t>
            </w:r>
            <w:r w:rsidR="00990C46" w:rsidRPr="00D127D7">
              <w:rPr>
                <w:rFonts w:ascii="Arial" w:hAnsi="Arial"/>
                <w:sz w:val="18"/>
                <w:lang w:val="en-GB"/>
              </w:rPr>
              <w:t>were adopted by the UNCCD’s governing body in 2013 as part of its monitoring and evaluation approach. They represent proxies that ought to reflect the capacity of the land to deliver ecosystem services. The changes have to be assessed and depicted as (</w:t>
            </w:r>
            <w:proofErr w:type="spellStart"/>
            <w:r w:rsidR="00990C46" w:rsidRPr="00D127D7">
              <w:rPr>
                <w:rFonts w:ascii="Arial" w:hAnsi="Arial"/>
                <w:sz w:val="18"/>
                <w:lang w:val="en-GB"/>
              </w:rPr>
              <w:t>i</w:t>
            </w:r>
            <w:proofErr w:type="spellEnd"/>
            <w:r w:rsidR="00990C46" w:rsidRPr="00D127D7">
              <w:rPr>
                <w:rFonts w:ascii="Arial" w:hAnsi="Arial"/>
                <w:sz w:val="18"/>
                <w:lang w:val="en-GB"/>
              </w:rPr>
              <w:t xml:space="preserve">) positive or improving, (ii) negative or declining, or (iii) stable or unchanging. Based on the evaluation of the changes, the proportion of land that is degraded over total land area (%) is calculated following a “One out all out” (1OAO) principle. That is, if one of the sub-indicators is negative (or stable when degraded in the baseline or previous monitoring year) for a particular land unit, the particular area is considered as degraded. </w:t>
            </w:r>
          </w:p>
          <w:p w14:paraId="60FDDD7C" w14:textId="77777777" w:rsidR="00990C46" w:rsidRPr="00D127D7" w:rsidRDefault="00990C46" w:rsidP="00990C46">
            <w:pPr>
              <w:tabs>
                <w:tab w:val="left" w:pos="2126"/>
              </w:tabs>
              <w:spacing w:before="120" w:after="80" w:line="240" w:lineRule="atLeast"/>
              <w:rPr>
                <w:rFonts w:ascii="Arial" w:hAnsi="Arial"/>
                <w:sz w:val="18"/>
                <w:lang w:val="en-GB"/>
              </w:rPr>
            </w:pPr>
            <w:r w:rsidRPr="00D127D7">
              <w:rPr>
                <w:noProof/>
                <w:lang w:eastAsia="en-AU"/>
              </w:rPr>
              <w:drawing>
                <wp:inline distT="0" distB="0" distL="0" distR="0" wp14:anchorId="51FC2E95" wp14:editId="5293DBE0">
                  <wp:extent cx="5100955" cy="2144395"/>
                  <wp:effectExtent l="0" t="0" r="4445"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00955" cy="2144395"/>
                          </a:xfrm>
                          <a:prstGeom prst="rect">
                            <a:avLst/>
                          </a:prstGeom>
                        </pic:spPr>
                      </pic:pic>
                    </a:graphicData>
                  </a:graphic>
                </wp:inline>
              </w:drawing>
            </w:r>
          </w:p>
          <w:p w14:paraId="74648498" w14:textId="77777777" w:rsidR="00231573" w:rsidRDefault="00231573" w:rsidP="00990C46">
            <w:pPr>
              <w:tabs>
                <w:tab w:val="left" w:pos="2126"/>
              </w:tabs>
              <w:spacing w:before="120" w:after="80" w:line="240" w:lineRule="atLeast"/>
              <w:rPr>
                <w:rFonts w:ascii="Arial" w:hAnsi="Arial"/>
                <w:b/>
                <w:sz w:val="18"/>
                <w:u w:val="single"/>
                <w:lang w:val="en-GB"/>
              </w:rPr>
            </w:pPr>
          </w:p>
          <w:p w14:paraId="5B1CEEF2" w14:textId="77777777" w:rsidR="00231573" w:rsidRDefault="00231573" w:rsidP="00990C46">
            <w:pPr>
              <w:tabs>
                <w:tab w:val="left" w:pos="2126"/>
              </w:tabs>
              <w:spacing w:before="120" w:after="80" w:line="240" w:lineRule="atLeast"/>
              <w:rPr>
                <w:rFonts w:ascii="Arial" w:hAnsi="Arial"/>
                <w:b/>
                <w:sz w:val="18"/>
                <w:u w:val="single"/>
                <w:lang w:val="en-GB"/>
              </w:rPr>
            </w:pPr>
          </w:p>
          <w:p w14:paraId="3F853039" w14:textId="77777777" w:rsidR="00231573" w:rsidRDefault="00231573" w:rsidP="00990C46">
            <w:pPr>
              <w:tabs>
                <w:tab w:val="left" w:pos="2126"/>
              </w:tabs>
              <w:spacing w:before="120" w:after="80" w:line="240" w:lineRule="atLeast"/>
              <w:rPr>
                <w:rFonts w:ascii="Arial" w:hAnsi="Arial"/>
                <w:b/>
                <w:sz w:val="18"/>
                <w:u w:val="single"/>
                <w:lang w:val="en-GB"/>
              </w:rPr>
            </w:pPr>
          </w:p>
          <w:p w14:paraId="63E4D03A" w14:textId="00079FAC" w:rsidR="00231573" w:rsidRPr="003B3BD7" w:rsidRDefault="00990C46" w:rsidP="00990C46">
            <w:pPr>
              <w:tabs>
                <w:tab w:val="left" w:pos="2126"/>
              </w:tabs>
              <w:spacing w:before="120" w:after="80" w:line="240" w:lineRule="atLeast"/>
              <w:rPr>
                <w:rFonts w:ascii="Arial" w:hAnsi="Arial"/>
                <w:b/>
                <w:sz w:val="18"/>
                <w:lang w:val="en-GB"/>
              </w:rPr>
            </w:pPr>
            <w:r w:rsidRPr="003B3BD7">
              <w:rPr>
                <w:rFonts w:ascii="Arial" w:hAnsi="Arial"/>
                <w:b/>
                <w:sz w:val="18"/>
                <w:u w:val="single"/>
              </w:rPr>
              <w:lastRenderedPageBreak/>
              <w:t>Land Cover:</w:t>
            </w:r>
            <w:r w:rsidRPr="003B3BD7">
              <w:rPr>
                <w:rFonts w:ascii="Arial" w:hAnsi="Arial"/>
                <w:b/>
                <w:sz w:val="18"/>
              </w:rPr>
              <w:t xml:space="preserve"> </w:t>
            </w:r>
          </w:p>
          <w:p w14:paraId="223AC440" w14:textId="77777777" w:rsidR="00231573" w:rsidRDefault="00990C46" w:rsidP="00990C46">
            <w:pPr>
              <w:tabs>
                <w:tab w:val="left" w:pos="2126"/>
              </w:tabs>
              <w:spacing w:before="120" w:after="80" w:line="240" w:lineRule="atLeast"/>
              <w:rPr>
                <w:rFonts w:ascii="Arial" w:hAnsi="Arial"/>
                <w:sz w:val="18"/>
                <w:lang w:val="en-GB"/>
              </w:rPr>
            </w:pPr>
            <w:r w:rsidRPr="00D127D7">
              <w:rPr>
                <w:rFonts w:ascii="Arial" w:hAnsi="Arial"/>
                <w:sz w:val="18"/>
                <w:lang w:val="en-GB"/>
              </w:rPr>
              <w:t xml:space="preserve">The sub-indicator describes the </w:t>
            </w:r>
            <w:r>
              <w:rPr>
                <w:rFonts w:ascii="Arial" w:hAnsi="Arial"/>
                <w:sz w:val="18"/>
                <w:lang w:val="en-GB"/>
              </w:rPr>
              <w:t xml:space="preserve">changes in the </w:t>
            </w:r>
            <w:r w:rsidRPr="00D127D7">
              <w:rPr>
                <w:rFonts w:ascii="Arial" w:hAnsi="Arial"/>
                <w:sz w:val="18"/>
                <w:lang w:val="en-GB"/>
              </w:rPr>
              <w:t>distribution of vegetation types</w:t>
            </w:r>
            <w:r w:rsidR="000B1B91">
              <w:rPr>
                <w:rFonts w:ascii="Arial" w:hAnsi="Arial"/>
                <w:sz w:val="18"/>
                <w:lang w:val="en-GB"/>
              </w:rPr>
              <w:t xml:space="preserve">, </w:t>
            </w:r>
            <w:r w:rsidRPr="00D127D7">
              <w:rPr>
                <w:rFonts w:ascii="Arial" w:hAnsi="Arial"/>
                <w:sz w:val="18"/>
                <w:lang w:val="en-GB"/>
              </w:rPr>
              <w:t>and human-impacted infrastructure, and reflects the use of land resources (i.e., soil, water and biodiversity) for agriculture, forestry, human settlements and other purposes. The land cover classes should be exhaustive and mutually exclusive, with the entire countr</w:t>
            </w:r>
            <w:r w:rsidR="001F46B6">
              <w:rPr>
                <w:rFonts w:ascii="Arial" w:hAnsi="Arial"/>
                <w:sz w:val="18"/>
                <w:lang w:val="en-GB"/>
              </w:rPr>
              <w:t>y’</w:t>
            </w:r>
            <w:r w:rsidRPr="00D127D7">
              <w:rPr>
                <w:rFonts w:ascii="Arial" w:hAnsi="Arial"/>
                <w:sz w:val="18"/>
                <w:lang w:val="en-GB"/>
              </w:rPr>
              <w:t xml:space="preserve">s land area being attributed to a set of land cover classes. </w:t>
            </w:r>
          </w:p>
          <w:p w14:paraId="1AA50062" w14:textId="7397D106" w:rsidR="00990C46" w:rsidRPr="00D127D7" w:rsidRDefault="00990C46" w:rsidP="00990C46">
            <w:pPr>
              <w:tabs>
                <w:tab w:val="left" w:pos="2126"/>
              </w:tabs>
              <w:spacing w:before="120" w:after="80" w:line="240" w:lineRule="atLeast"/>
              <w:rPr>
                <w:rFonts w:ascii="Arial" w:hAnsi="Arial"/>
                <w:sz w:val="18"/>
                <w:lang w:val="en-GB"/>
              </w:rPr>
            </w:pPr>
            <w:r w:rsidRPr="00D127D7">
              <w:rPr>
                <w:rFonts w:ascii="Arial" w:hAnsi="Arial"/>
                <w:sz w:val="18"/>
                <w:lang w:val="en-GB"/>
              </w:rPr>
              <w:t xml:space="preserve">There is an international standard for land cover which includes the Land Cover Meta Language (LCML), a common reference structure (statistical standard) for the comparison and integration of data for any generic land cover classification system. LCML is also used for defining land cover and ecosystem functional units used in the System of Environmental-Economic Accounting (SEEA), and closely linked to the Intergovernmental Panel on Climate Change (IPCC) classification on land cover/land use. The IPCC land use change legend suggests six main classes (forest land, grassland, cropland, wetlands, settlements and other lands, like bare soil, snow and glaciers and water bodies) which should be considered as a minimum set. To classify the changes and decide whether or not land degradation occurs from a land cover change perspective, a change matrix approach is applied (see below). </w:t>
            </w:r>
          </w:p>
          <w:p w14:paraId="470C75E2" w14:textId="77777777" w:rsidR="00990C46" w:rsidRPr="00D127D7" w:rsidRDefault="00990C46" w:rsidP="00990C46">
            <w:pPr>
              <w:tabs>
                <w:tab w:val="left" w:pos="2126"/>
              </w:tabs>
              <w:spacing w:before="120" w:after="80" w:line="240" w:lineRule="atLeast"/>
              <w:jc w:val="center"/>
              <w:rPr>
                <w:rFonts w:ascii="Arial" w:hAnsi="Arial"/>
                <w:sz w:val="18"/>
                <w:lang w:val="en-GB"/>
              </w:rPr>
            </w:pPr>
            <w:r w:rsidRPr="00D127D7">
              <w:rPr>
                <w:noProof/>
                <w:lang w:eastAsia="en-AU"/>
              </w:rPr>
              <w:drawing>
                <wp:inline distT="0" distB="0" distL="0" distR="0" wp14:anchorId="0D6700BC" wp14:editId="0C0A68C7">
                  <wp:extent cx="5172523" cy="2524125"/>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98548" cy="2536825"/>
                          </a:xfrm>
                          <a:prstGeom prst="rect">
                            <a:avLst/>
                          </a:prstGeom>
                        </pic:spPr>
                      </pic:pic>
                    </a:graphicData>
                  </a:graphic>
                </wp:inline>
              </w:drawing>
            </w:r>
          </w:p>
          <w:p w14:paraId="4413477A" w14:textId="141DA540" w:rsidR="00990C46" w:rsidRPr="00D127D7" w:rsidRDefault="00990C46" w:rsidP="00990C46">
            <w:pPr>
              <w:tabs>
                <w:tab w:val="left" w:pos="2126"/>
              </w:tabs>
              <w:spacing w:before="120" w:after="80" w:line="240" w:lineRule="atLeast"/>
              <w:rPr>
                <w:rFonts w:ascii="Arial" w:hAnsi="Arial"/>
                <w:sz w:val="18"/>
                <w:lang w:val="en-GB"/>
              </w:rPr>
            </w:pPr>
            <w:r w:rsidRPr="004A39E2">
              <w:rPr>
                <w:rFonts w:ascii="Arial" w:hAnsi="Arial"/>
                <w:sz w:val="18"/>
                <w:lang w:val="en-GB"/>
              </w:rPr>
              <w:t>Note: This sub-indicator is also expected to be used for reporting on SDG indicators 6.6.1, 11.3.1 and 15.1.1</w:t>
            </w:r>
            <w:r w:rsidR="000B1B91" w:rsidRPr="004A39E2">
              <w:rPr>
                <w:rFonts w:ascii="Arial" w:hAnsi="Arial"/>
                <w:sz w:val="18"/>
                <w:lang w:val="en-GB"/>
              </w:rPr>
              <w:t xml:space="preserve"> to guarantee a consistency among the reporting (e.g. forest changes).</w:t>
            </w:r>
            <w:r w:rsidR="000B1B91">
              <w:rPr>
                <w:rFonts w:ascii="Arial" w:hAnsi="Arial"/>
                <w:sz w:val="18"/>
                <w:lang w:val="en-GB"/>
              </w:rPr>
              <w:t xml:space="preserve"> </w:t>
            </w:r>
            <w:r w:rsidR="000B1B91" w:rsidRPr="00D127D7">
              <w:rPr>
                <w:rFonts w:ascii="Arial" w:hAnsi="Arial"/>
                <w:sz w:val="18"/>
                <w:lang w:val="en-GB"/>
              </w:rPr>
              <w:t xml:space="preserve"> </w:t>
            </w:r>
          </w:p>
          <w:p w14:paraId="316E260A" w14:textId="77777777" w:rsidR="00231573" w:rsidRPr="003B3BD7" w:rsidRDefault="00990C46" w:rsidP="00990C46">
            <w:pPr>
              <w:tabs>
                <w:tab w:val="left" w:pos="2126"/>
              </w:tabs>
              <w:spacing w:before="120" w:after="80" w:line="240" w:lineRule="atLeast"/>
              <w:rPr>
                <w:rFonts w:ascii="Arial" w:hAnsi="Arial"/>
                <w:b/>
                <w:sz w:val="18"/>
                <w:lang w:val="en-GB"/>
              </w:rPr>
            </w:pPr>
            <w:r w:rsidRPr="003B3BD7">
              <w:rPr>
                <w:rFonts w:ascii="Arial" w:hAnsi="Arial"/>
                <w:b/>
                <w:sz w:val="18"/>
                <w:u w:val="single"/>
              </w:rPr>
              <w:t>Land productivity</w:t>
            </w:r>
            <w:r w:rsidRPr="003B3BD7">
              <w:rPr>
                <w:rFonts w:ascii="Arial" w:hAnsi="Arial"/>
                <w:b/>
                <w:sz w:val="18"/>
              </w:rPr>
              <w:t xml:space="preserve">: </w:t>
            </w:r>
          </w:p>
          <w:p w14:paraId="3C216DE3" w14:textId="5C151FB4" w:rsidR="00990C46" w:rsidRPr="00D127D7" w:rsidRDefault="00990C46" w:rsidP="00990C46">
            <w:pPr>
              <w:tabs>
                <w:tab w:val="left" w:pos="2126"/>
              </w:tabs>
              <w:spacing w:before="120" w:after="80" w:line="240" w:lineRule="atLeast"/>
              <w:rPr>
                <w:rFonts w:ascii="Arial" w:hAnsi="Arial"/>
                <w:sz w:val="18"/>
                <w:lang w:val="en-GB"/>
              </w:rPr>
            </w:pPr>
            <w:r w:rsidRPr="00D127D7">
              <w:rPr>
                <w:rFonts w:ascii="Arial" w:hAnsi="Arial"/>
                <w:sz w:val="18"/>
                <w:lang w:val="en-GB"/>
              </w:rPr>
              <w:t>The sub-indicator refers to the total above-ground net primary production (NPP) defined as the energy fix</w:t>
            </w:r>
            <w:r w:rsidR="001F46B6">
              <w:rPr>
                <w:rFonts w:ascii="Arial" w:hAnsi="Arial"/>
                <w:sz w:val="18"/>
                <w:lang w:val="en-GB"/>
              </w:rPr>
              <w:t>at</w:t>
            </w:r>
            <w:r w:rsidRPr="00D127D7">
              <w:rPr>
                <w:rFonts w:ascii="Arial" w:hAnsi="Arial"/>
                <w:sz w:val="18"/>
                <w:lang w:val="en-GB"/>
              </w:rPr>
              <w:t>ed by plants minus their respiration which translates into the rate of biomass accumulation that delivers ecosystem services. The international standard for calculating NPP (</w:t>
            </w:r>
            <w:proofErr w:type="spellStart"/>
            <w:r w:rsidRPr="00D127D7">
              <w:rPr>
                <w:rFonts w:ascii="Arial" w:hAnsi="Arial"/>
                <w:sz w:val="18"/>
                <w:lang w:val="en-GB"/>
              </w:rPr>
              <w:t>gC</w:t>
            </w:r>
            <w:proofErr w:type="spellEnd"/>
            <w:r w:rsidRPr="00D127D7">
              <w:rPr>
                <w:rFonts w:ascii="Arial" w:hAnsi="Arial"/>
                <w:sz w:val="18"/>
                <w:lang w:val="en-GB"/>
              </w:rPr>
              <w:t xml:space="preserve">/m²/day) from </w:t>
            </w:r>
            <w:r w:rsidR="00E3200E" w:rsidRPr="00D127D7">
              <w:rPr>
                <w:rFonts w:ascii="Arial" w:hAnsi="Arial"/>
                <w:sz w:val="18"/>
                <w:lang w:val="en-GB"/>
              </w:rPr>
              <w:t>remotely sensed</w:t>
            </w:r>
            <w:r w:rsidRPr="00D127D7">
              <w:rPr>
                <w:rFonts w:ascii="Arial" w:hAnsi="Arial"/>
                <w:sz w:val="18"/>
                <w:lang w:val="en-GB"/>
              </w:rPr>
              <w:t xml:space="preserve">, multi-temporal surface reflectance data, accounting for the global range of climate and vegetation types, was established in 1999 by NASA for the MODIS </w:t>
            </w:r>
            <w:r w:rsidRPr="00BC5DCD">
              <w:rPr>
                <w:rFonts w:ascii="Arial" w:hAnsi="Arial"/>
                <w:sz w:val="18"/>
                <w:lang w:val="en-GB"/>
              </w:rPr>
              <w:t xml:space="preserve">sensor. The Land Productivity Dynamics (LPD) methodology and dataset, developed by the Joint Research Centre (JRC) of the European Commission (EC) and used in the UNCCD LDN Target Setting programme, employs this international standard to calculate NPP time series trends and change analyses. </w:t>
            </w:r>
            <w:r w:rsidR="007235B4" w:rsidRPr="00BC5DCD">
              <w:rPr>
                <w:rFonts w:ascii="Arial" w:hAnsi="Arial"/>
                <w:sz w:val="18"/>
                <w:lang w:val="en-GB"/>
              </w:rPr>
              <w:t>The LPD dataset is based on a</w:t>
            </w:r>
            <w:r w:rsidR="00BC5DCD" w:rsidRPr="00BC5DCD">
              <w:rPr>
                <w:rFonts w:ascii="Arial" w:hAnsi="Arial"/>
                <w:sz w:val="18"/>
                <w:lang w:val="en-GB"/>
              </w:rPr>
              <w:t xml:space="preserve"> timeseries</w:t>
            </w:r>
            <w:r w:rsidR="007235B4" w:rsidRPr="00BC5DCD">
              <w:rPr>
                <w:rFonts w:ascii="Arial" w:hAnsi="Arial"/>
                <w:sz w:val="18"/>
                <w:lang w:val="en-GB"/>
              </w:rPr>
              <w:t xml:space="preserve"> analysis </w:t>
            </w:r>
            <w:r w:rsidR="007718E8" w:rsidRPr="00BC5DCD">
              <w:rPr>
                <w:rFonts w:ascii="Arial" w:hAnsi="Arial"/>
                <w:sz w:val="18"/>
                <w:lang w:val="en-GB"/>
              </w:rPr>
              <w:t>of long</w:t>
            </w:r>
            <w:r w:rsidR="007235B4" w:rsidRPr="00BC5DCD">
              <w:rPr>
                <w:rFonts w:ascii="Arial" w:hAnsi="Arial"/>
                <w:sz w:val="18"/>
                <w:lang w:val="en-GB"/>
              </w:rPr>
              <w:t>-term changes and current efficiency levels of vegetative or standing biomass</w:t>
            </w:r>
            <w:r w:rsidR="00BC5DCD" w:rsidRPr="00BC5DCD">
              <w:rPr>
                <w:rFonts w:ascii="Arial" w:hAnsi="Arial"/>
                <w:sz w:val="18"/>
                <w:lang w:val="en-GB"/>
              </w:rPr>
              <w:t xml:space="preserve">, providing 5 qualitative classes of land productivity trends over the time period 1999-2013. </w:t>
            </w:r>
          </w:p>
          <w:p w14:paraId="2997B4BA" w14:textId="77777777" w:rsidR="00231573" w:rsidRPr="003B3BD7" w:rsidRDefault="00990C46" w:rsidP="00990C46">
            <w:pPr>
              <w:tabs>
                <w:tab w:val="left" w:pos="2126"/>
              </w:tabs>
              <w:spacing w:before="120" w:after="80" w:line="240" w:lineRule="atLeast"/>
              <w:rPr>
                <w:rFonts w:ascii="Arial" w:hAnsi="Arial"/>
                <w:b/>
                <w:sz w:val="18"/>
                <w:lang w:val="en-GB"/>
              </w:rPr>
            </w:pPr>
            <w:r w:rsidRPr="003B3BD7">
              <w:rPr>
                <w:rFonts w:ascii="Arial" w:hAnsi="Arial"/>
                <w:b/>
                <w:sz w:val="18"/>
                <w:u w:val="single"/>
              </w:rPr>
              <w:t>Carbon Stock:</w:t>
            </w:r>
            <w:r w:rsidRPr="003B3BD7">
              <w:rPr>
                <w:rFonts w:ascii="Arial" w:hAnsi="Arial"/>
                <w:b/>
                <w:sz w:val="18"/>
              </w:rPr>
              <w:t xml:space="preserve"> </w:t>
            </w:r>
          </w:p>
          <w:p w14:paraId="2471F80A" w14:textId="1D38DD8A" w:rsidR="00990C46" w:rsidRPr="00D127D7" w:rsidRDefault="00990C46" w:rsidP="00990C46">
            <w:pPr>
              <w:tabs>
                <w:tab w:val="left" w:pos="2126"/>
              </w:tabs>
              <w:spacing w:before="120" w:after="80" w:line="240" w:lineRule="atLeast"/>
              <w:rPr>
                <w:rFonts w:ascii="Arial" w:hAnsi="Arial"/>
                <w:sz w:val="18"/>
                <w:lang w:val="en-GB"/>
              </w:rPr>
            </w:pPr>
            <w:r w:rsidRPr="00D127D7">
              <w:rPr>
                <w:rFonts w:ascii="Arial" w:hAnsi="Arial"/>
                <w:sz w:val="18"/>
                <w:lang w:val="en-GB"/>
              </w:rPr>
              <w:t>In UNCCD decision 22/COP.11, soil organic carbon (SOC) stock was adopted as the metric to be used with the understanding that this metric will be replaced by total terrestrial system carbon stocks, once operational. SOC is an indicator of overall soil quality associated with nutrient cycling and its aggregate stability and structure with direct implications for water infiltration, soil biodiversity, vulnerability to erosion, and ultimately the productivity of vegetation, and in agricultural contexts, yields. For carbon stocks, IPCC (2006) contains the most relevant definitions and standards related to soil infrastructure, and data transfer.</w:t>
            </w:r>
          </w:p>
          <w:p w14:paraId="0CBBD722" w14:textId="77777777" w:rsidR="00231573" w:rsidRPr="003B3BD7" w:rsidRDefault="00990C46" w:rsidP="00990C46">
            <w:pPr>
              <w:tabs>
                <w:tab w:val="left" w:pos="2126"/>
              </w:tabs>
              <w:spacing w:before="120" w:after="80" w:line="240" w:lineRule="atLeast"/>
              <w:rPr>
                <w:rFonts w:ascii="Arial" w:hAnsi="Arial"/>
                <w:b/>
                <w:sz w:val="18"/>
                <w:u w:val="single"/>
                <w:lang w:val="en-GB"/>
              </w:rPr>
            </w:pPr>
            <w:r w:rsidRPr="003B3BD7">
              <w:rPr>
                <w:rFonts w:ascii="Arial" w:hAnsi="Arial"/>
                <w:b/>
                <w:sz w:val="18"/>
                <w:u w:val="single"/>
              </w:rPr>
              <w:lastRenderedPageBreak/>
              <w:t xml:space="preserve">Baseline and reporting period: </w:t>
            </w:r>
          </w:p>
          <w:p w14:paraId="43455BF8" w14:textId="69B62BD1" w:rsidR="00990C46" w:rsidRPr="00D127D7" w:rsidRDefault="00990C46" w:rsidP="00990C46">
            <w:pPr>
              <w:tabs>
                <w:tab w:val="left" w:pos="2126"/>
              </w:tabs>
              <w:spacing w:before="120" w:after="80" w:line="240" w:lineRule="atLeast"/>
              <w:rPr>
                <w:rFonts w:ascii="Arial" w:hAnsi="Arial"/>
                <w:sz w:val="18"/>
                <w:lang w:val="en-GB"/>
              </w:rPr>
            </w:pPr>
            <w:r w:rsidRPr="00D127D7">
              <w:rPr>
                <w:rFonts w:ascii="Arial" w:hAnsi="Arial"/>
                <w:sz w:val="18"/>
                <w:lang w:val="en-GB"/>
              </w:rPr>
              <w:t>The baseline is established over the period 2000 to 2015, with the base year being 2015. All changes are assessed relative to the baseline value with a reporting interval of 4 years, starting in the year 2018. Countries are responsible for submitting national reports to UNCCD. According to the reporting platform prais³ of the UNCCD</w:t>
            </w:r>
            <w:r w:rsidR="00AE3D92">
              <w:rPr>
                <w:rFonts w:ascii="Arial" w:hAnsi="Arial"/>
                <w:sz w:val="18"/>
                <w:lang w:val="en-GB"/>
              </w:rPr>
              <w:t xml:space="preserve"> </w:t>
            </w:r>
            <w:r w:rsidRPr="00D127D7">
              <w:rPr>
                <w:rFonts w:ascii="Arial" w:hAnsi="Arial"/>
                <w:sz w:val="18"/>
                <w:lang w:val="en-GB"/>
              </w:rPr>
              <w:t xml:space="preserve">a total of 149 countries have reported in 2018. </w:t>
            </w:r>
          </w:p>
          <w:p w14:paraId="40A530C7" w14:textId="77777777" w:rsidR="00231573" w:rsidRPr="003B3BD7" w:rsidRDefault="00990C46" w:rsidP="00990C46">
            <w:pPr>
              <w:tabs>
                <w:tab w:val="left" w:pos="2126"/>
              </w:tabs>
              <w:spacing w:before="120" w:after="80" w:line="240" w:lineRule="atLeast"/>
              <w:rPr>
                <w:rFonts w:ascii="Arial" w:hAnsi="Arial"/>
                <w:b/>
                <w:sz w:val="18"/>
                <w:u w:val="single"/>
                <w:lang w:val="en-GB"/>
              </w:rPr>
            </w:pPr>
            <w:r w:rsidRPr="003B3BD7">
              <w:rPr>
                <w:rFonts w:ascii="Arial" w:hAnsi="Arial"/>
                <w:b/>
                <w:sz w:val="18"/>
                <w:u w:val="single"/>
              </w:rPr>
              <w:t xml:space="preserve">Challenges: </w:t>
            </w:r>
          </w:p>
          <w:p w14:paraId="56E605BF" w14:textId="43878279" w:rsidR="00990C46" w:rsidRPr="00D127D7" w:rsidRDefault="00653B0E" w:rsidP="00990C46">
            <w:pPr>
              <w:tabs>
                <w:tab w:val="left" w:pos="2126"/>
              </w:tabs>
              <w:spacing w:before="120" w:after="80" w:line="240" w:lineRule="atLeast"/>
              <w:rPr>
                <w:rFonts w:ascii="Arial" w:hAnsi="Arial"/>
                <w:sz w:val="18"/>
                <w:lang w:val="en-GB"/>
              </w:rPr>
            </w:pPr>
            <w:r w:rsidRPr="003E36B7">
              <w:rPr>
                <w:rFonts w:ascii="Arial" w:hAnsi="Arial"/>
                <w:sz w:val="18"/>
                <w:lang w:val="en-US"/>
              </w:rPr>
              <w:t>The indicator has been classified as TIER-II meaning that the indicator is conceptually clear, and an established methodology exists but data on many countries is not yet available</w:t>
            </w:r>
            <w:r>
              <w:rPr>
                <w:rFonts w:ascii="Arial" w:hAnsi="Arial"/>
                <w:sz w:val="18"/>
                <w:lang w:val="en-GB"/>
              </w:rPr>
              <w:t>. Challenges and issues are relat</w:t>
            </w:r>
            <w:r w:rsidR="00977178">
              <w:rPr>
                <w:rFonts w:ascii="Arial" w:hAnsi="Arial"/>
                <w:sz w:val="18"/>
                <w:lang w:val="en-GB"/>
              </w:rPr>
              <w:t>ed</w:t>
            </w:r>
            <w:r>
              <w:rPr>
                <w:rFonts w:ascii="Arial" w:hAnsi="Arial"/>
                <w:sz w:val="18"/>
                <w:lang w:val="en-GB"/>
              </w:rPr>
              <w:t xml:space="preserve"> to the fact</w:t>
            </w:r>
            <w:r w:rsidR="00990C46" w:rsidRPr="00D127D7">
              <w:rPr>
                <w:rFonts w:ascii="Arial" w:hAnsi="Arial"/>
                <w:sz w:val="18"/>
                <w:lang w:val="en-GB"/>
              </w:rPr>
              <w:t xml:space="preserve"> that the sub-indicators cannot fully capture the complexity of land degradation (e</w:t>
            </w:r>
            <w:r w:rsidR="006E509E">
              <w:rPr>
                <w:rFonts w:ascii="Arial" w:hAnsi="Arial"/>
                <w:sz w:val="18"/>
                <w:lang w:val="en-GB"/>
              </w:rPr>
              <w:t>.g</w:t>
            </w:r>
            <w:r w:rsidR="00990C46" w:rsidRPr="00D127D7">
              <w:rPr>
                <w:rFonts w:ascii="Arial" w:hAnsi="Arial"/>
                <w:sz w:val="18"/>
                <w:lang w:val="en-GB"/>
              </w:rPr>
              <w:t>., its degree and drivers)</w:t>
            </w:r>
            <w:r>
              <w:rPr>
                <w:rFonts w:ascii="Arial" w:hAnsi="Arial"/>
                <w:sz w:val="18"/>
                <w:lang w:val="en-GB"/>
              </w:rPr>
              <w:t>. C</w:t>
            </w:r>
            <w:r w:rsidR="00990C46" w:rsidRPr="00D127D7">
              <w:rPr>
                <w:rFonts w:ascii="Arial" w:hAnsi="Arial"/>
                <w:sz w:val="18"/>
                <w:lang w:val="en-GB"/>
              </w:rPr>
              <w:t xml:space="preserve">ountries are strongly encouraged to use other relevant national or sub-national indicators, data and information to strengthen their interpretation. Further, the rather coarse spatial resolution (&gt;100m) of the existing EO products </w:t>
            </w:r>
            <w:r>
              <w:rPr>
                <w:rFonts w:ascii="Arial" w:hAnsi="Arial"/>
                <w:sz w:val="18"/>
                <w:lang w:val="en-GB"/>
              </w:rPr>
              <w:t>prevent</w:t>
            </w:r>
            <w:r w:rsidR="00990C46" w:rsidRPr="00D127D7">
              <w:rPr>
                <w:rFonts w:ascii="Arial" w:hAnsi="Arial"/>
                <w:sz w:val="18"/>
                <w:lang w:val="en-GB"/>
              </w:rPr>
              <w:t xml:space="preserve"> detailed land degradation mapping including the monitoring of its triggers. Other challenges</w:t>
            </w:r>
            <w:r>
              <w:rPr>
                <w:rFonts w:ascii="Arial" w:hAnsi="Arial"/>
                <w:sz w:val="18"/>
                <w:lang w:val="en-GB"/>
              </w:rPr>
              <w:t xml:space="preserve"> </w:t>
            </w:r>
            <w:r w:rsidR="00990C46" w:rsidRPr="00D127D7">
              <w:rPr>
                <w:rFonts w:ascii="Arial" w:hAnsi="Arial"/>
                <w:sz w:val="18"/>
                <w:lang w:val="en-GB"/>
              </w:rPr>
              <w:t>include the combination of coarse</w:t>
            </w:r>
            <w:r w:rsidR="00AE3D92">
              <w:rPr>
                <w:rFonts w:ascii="Arial" w:hAnsi="Arial"/>
                <w:sz w:val="18"/>
                <w:lang w:val="en-GB"/>
              </w:rPr>
              <w:t xml:space="preserve"> or/and </w:t>
            </w:r>
            <w:r w:rsidR="00990C46" w:rsidRPr="00D127D7">
              <w:rPr>
                <w:rFonts w:ascii="Arial" w:hAnsi="Arial"/>
                <w:sz w:val="18"/>
                <w:lang w:val="en-GB"/>
              </w:rPr>
              <w:t xml:space="preserve">medium resolution data with high resolution (HR) EO imagery, </w:t>
            </w:r>
            <w:r w:rsidR="007718E8">
              <w:rPr>
                <w:rFonts w:ascii="Arial" w:hAnsi="Arial"/>
                <w:sz w:val="18"/>
                <w:lang w:val="en-GB"/>
              </w:rPr>
              <w:t xml:space="preserve">the validation of national EO-based data products </w:t>
            </w:r>
            <w:r w:rsidR="00990C46" w:rsidRPr="00D127D7">
              <w:rPr>
                <w:rFonts w:ascii="Arial" w:hAnsi="Arial"/>
                <w:sz w:val="18"/>
                <w:lang w:val="en-GB"/>
              </w:rPr>
              <w:t>as well as the uncertainty</w:t>
            </w:r>
            <w:r w:rsidR="007718E8" w:rsidRPr="00653B0E">
              <w:rPr>
                <w:rFonts w:ascii="Arial" w:hAnsi="Arial"/>
                <w:sz w:val="18"/>
                <w:lang w:val="en-GB"/>
              </w:rPr>
              <w:t xml:space="preserve"> </w:t>
            </w:r>
            <w:r w:rsidRPr="00653B0E">
              <w:rPr>
                <w:rFonts w:ascii="Arial" w:hAnsi="Arial"/>
                <w:sz w:val="18"/>
                <w:lang w:val="en-GB"/>
              </w:rPr>
              <w:t xml:space="preserve">in </w:t>
            </w:r>
            <w:r w:rsidR="007718E8" w:rsidRPr="007718E8">
              <w:rPr>
                <w:rFonts w:ascii="Arial" w:hAnsi="Arial"/>
                <w:sz w:val="18"/>
                <w:lang w:val="en-GB"/>
              </w:rPr>
              <w:t>the continuity of global datasets</w:t>
            </w:r>
            <w:r w:rsidR="007718E8">
              <w:rPr>
                <w:rFonts w:ascii="Arial" w:hAnsi="Arial"/>
                <w:sz w:val="18"/>
                <w:lang w:val="en-GB"/>
              </w:rPr>
              <w:t xml:space="preserve"> currently </w:t>
            </w:r>
            <w:r w:rsidR="007718E8" w:rsidRPr="007718E8">
              <w:rPr>
                <w:rFonts w:ascii="Arial" w:hAnsi="Arial"/>
                <w:sz w:val="18"/>
                <w:lang w:val="en-GB"/>
              </w:rPr>
              <w:t>used as default data</w:t>
            </w:r>
            <w:r w:rsidR="00990C46" w:rsidRPr="00D127D7">
              <w:rPr>
                <w:rFonts w:ascii="Arial" w:hAnsi="Arial"/>
                <w:sz w:val="18"/>
                <w:lang w:val="en-GB"/>
              </w:rPr>
              <w:t>. With respect to carbon stocks, more research is needed on how to complement and update it with EO data.</w:t>
            </w:r>
          </w:p>
          <w:p w14:paraId="5309AF5F" w14:textId="77777777" w:rsidR="00231573" w:rsidRPr="003B3BD7" w:rsidRDefault="00990C46" w:rsidP="00022D1C">
            <w:pPr>
              <w:tabs>
                <w:tab w:val="left" w:pos="2126"/>
              </w:tabs>
              <w:spacing w:before="120" w:after="80" w:line="240" w:lineRule="atLeast"/>
              <w:rPr>
                <w:rFonts w:ascii="Arial" w:hAnsi="Arial"/>
                <w:b/>
                <w:sz w:val="18"/>
                <w:u w:val="single"/>
                <w:lang w:val="en-GB"/>
              </w:rPr>
            </w:pPr>
            <w:r w:rsidRPr="003B3BD7">
              <w:rPr>
                <w:rFonts w:ascii="Arial" w:hAnsi="Arial"/>
                <w:b/>
                <w:sz w:val="18"/>
                <w:u w:val="single"/>
              </w:rPr>
              <w:t xml:space="preserve">Consideration of EO: </w:t>
            </w:r>
          </w:p>
          <w:p w14:paraId="0FB6AFE9" w14:textId="1C4D0D73" w:rsidR="00990C46" w:rsidRPr="00D127D7" w:rsidRDefault="00022D1C" w:rsidP="00022D1C">
            <w:pPr>
              <w:tabs>
                <w:tab w:val="left" w:pos="2126"/>
              </w:tabs>
              <w:spacing w:before="120" w:after="80" w:line="240" w:lineRule="atLeast"/>
              <w:rPr>
                <w:rFonts w:ascii="Arial" w:hAnsi="Arial"/>
                <w:sz w:val="18"/>
              </w:rPr>
            </w:pPr>
            <w:r w:rsidRPr="00022D1C">
              <w:rPr>
                <w:rFonts w:ascii="Arial" w:hAnsi="Arial"/>
                <w:bCs/>
                <w:sz w:val="18"/>
                <w:lang w:val="en-GB"/>
              </w:rPr>
              <w:t>The GPG</w:t>
            </w:r>
            <w:r w:rsidR="00990C46" w:rsidRPr="00441219">
              <w:rPr>
                <w:rStyle w:val="FootnoteReference"/>
                <w:rFonts w:ascii="Arial" w:hAnsi="Arial"/>
                <w:sz w:val="18"/>
                <w:lang w:val="en-GB"/>
              </w:rPr>
              <w:footnoteReference w:id="1"/>
            </w:r>
            <w:r w:rsidR="00990C46" w:rsidRPr="00441219">
              <w:rPr>
                <w:rFonts w:ascii="Arial" w:hAnsi="Arial"/>
                <w:sz w:val="18"/>
                <w:lang w:val="en-GB"/>
              </w:rPr>
              <w:t xml:space="preserve"> deeply integrates EO into the methodology</w:t>
            </w:r>
            <w:r>
              <w:rPr>
                <w:rFonts w:ascii="Arial" w:hAnsi="Arial"/>
                <w:sz w:val="18"/>
                <w:lang w:val="en-GB"/>
              </w:rPr>
              <w:t xml:space="preserve"> </w:t>
            </w:r>
            <w:r w:rsidR="00990C46" w:rsidRPr="00441219">
              <w:rPr>
                <w:rFonts w:ascii="Arial" w:hAnsi="Arial"/>
                <w:sz w:val="18"/>
                <w:lang w:val="en-GB"/>
              </w:rPr>
              <w:t xml:space="preserve">by using global </w:t>
            </w:r>
            <w:r>
              <w:rPr>
                <w:rFonts w:ascii="Arial" w:hAnsi="Arial"/>
                <w:sz w:val="18"/>
                <w:lang w:val="en-GB"/>
              </w:rPr>
              <w:t xml:space="preserve">default </w:t>
            </w:r>
            <w:r w:rsidR="00990C46" w:rsidRPr="00441219">
              <w:rPr>
                <w:rFonts w:ascii="Arial" w:hAnsi="Arial"/>
                <w:sz w:val="18"/>
                <w:lang w:val="en-GB"/>
              </w:rPr>
              <w:t>EO datasets such as the ESA</w:t>
            </w:r>
            <w:r>
              <w:rPr>
                <w:rFonts w:ascii="Arial" w:hAnsi="Arial"/>
                <w:sz w:val="18"/>
                <w:lang w:val="en-GB"/>
              </w:rPr>
              <w:t xml:space="preserve"> CCI</w:t>
            </w:r>
            <w:r w:rsidR="00990C46" w:rsidRPr="00441219">
              <w:rPr>
                <w:rFonts w:ascii="Arial" w:hAnsi="Arial"/>
                <w:sz w:val="18"/>
                <w:lang w:val="en-GB"/>
              </w:rPr>
              <w:t xml:space="preserve"> Land Cover and the JRC LPD.</w:t>
            </w:r>
            <w:r>
              <w:rPr>
                <w:rFonts w:ascii="Arial" w:hAnsi="Arial"/>
                <w:sz w:val="18"/>
                <w:lang w:val="en-GB"/>
              </w:rPr>
              <w:t xml:space="preserve"> Further, </w:t>
            </w:r>
            <w:r w:rsidR="00990C46" w:rsidRPr="00441219">
              <w:rPr>
                <w:rFonts w:ascii="Arial" w:hAnsi="Arial"/>
                <w:sz w:val="18"/>
                <w:lang w:val="en-GB"/>
              </w:rPr>
              <w:t xml:space="preserve">Conservation International (CI) together with Lund University, and NASA have developed a platform for monitoring land degradation using EO in </w:t>
            </w:r>
            <w:r>
              <w:rPr>
                <w:rFonts w:ascii="Arial" w:hAnsi="Arial"/>
                <w:sz w:val="18"/>
                <w:lang w:val="en-GB"/>
              </w:rPr>
              <w:t>a</w:t>
            </w:r>
            <w:r w:rsidR="00990C46" w:rsidRPr="00441219">
              <w:rPr>
                <w:rFonts w:ascii="Arial" w:hAnsi="Arial"/>
                <w:sz w:val="18"/>
                <w:lang w:val="en-GB"/>
              </w:rPr>
              <w:t xml:space="preserve"> desktop and cloud-based system financed by the Global Environment Facility (GEF)</w:t>
            </w:r>
            <w:r w:rsidR="00990C46" w:rsidRPr="00441219">
              <w:rPr>
                <w:rStyle w:val="FootnoteReference"/>
                <w:rFonts w:ascii="Arial" w:hAnsi="Arial"/>
                <w:sz w:val="18"/>
                <w:lang w:val="en-GB"/>
              </w:rPr>
              <w:footnoteReference w:id="2"/>
            </w:r>
            <w:r w:rsidR="00990C46" w:rsidRPr="00441219">
              <w:rPr>
                <w:rFonts w:ascii="Arial" w:hAnsi="Arial"/>
                <w:sz w:val="18"/>
                <w:lang w:val="en-GB"/>
              </w:rPr>
              <w:t xml:space="preserve">. The </w:t>
            </w:r>
            <w:hyperlink r:id="rId13" w:history="1">
              <w:proofErr w:type="spellStart"/>
              <w:r w:rsidR="00990C46" w:rsidRPr="00441219">
                <w:rPr>
                  <w:rStyle w:val="Hyperlink"/>
                  <w:rFonts w:ascii="Arial" w:hAnsi="Arial"/>
                  <w:sz w:val="18"/>
                  <w:lang w:val="en-GB"/>
                </w:rPr>
                <w:t>Trends.Earth</w:t>
              </w:r>
              <w:proofErr w:type="spellEnd"/>
            </w:hyperlink>
            <w:r w:rsidR="00990C46" w:rsidRPr="00441219">
              <w:rPr>
                <w:rFonts w:ascii="Arial" w:hAnsi="Arial"/>
                <w:sz w:val="18"/>
                <w:lang w:val="en-GB"/>
              </w:rPr>
              <w:t xml:space="preserve"> tool box draws on a variety of different data sources including the Normalized Difference Vegetation Index (NDVI), soil moisture, precipitation, evapotranspiration, land cover, soil carbon, </w:t>
            </w:r>
            <w:proofErr w:type="spellStart"/>
            <w:r w:rsidR="00990C46" w:rsidRPr="00441219">
              <w:rPr>
                <w:rFonts w:ascii="Arial" w:hAnsi="Arial"/>
                <w:sz w:val="18"/>
                <w:lang w:val="en-GB"/>
              </w:rPr>
              <w:t>agro</w:t>
            </w:r>
            <w:proofErr w:type="spellEnd"/>
            <w:r w:rsidR="00990C46" w:rsidRPr="00441219">
              <w:rPr>
                <w:rFonts w:ascii="Arial" w:hAnsi="Arial"/>
                <w:sz w:val="18"/>
                <w:lang w:val="en-GB"/>
              </w:rPr>
              <w:t>-ecological zones as well as administrative boundaries. The toolbox is able to estimate the three sub-indicators for monitoring the achievement</w:t>
            </w:r>
            <w:r w:rsidR="00E3200E">
              <w:rPr>
                <w:rFonts w:ascii="Arial" w:hAnsi="Arial"/>
                <w:sz w:val="18"/>
                <w:lang w:val="en-GB"/>
              </w:rPr>
              <w:t xml:space="preserve">s towards </w:t>
            </w:r>
            <w:r w:rsidR="00990C46" w:rsidRPr="00441219">
              <w:rPr>
                <w:rFonts w:ascii="Arial" w:hAnsi="Arial"/>
                <w:sz w:val="18"/>
                <w:lang w:val="en-GB"/>
              </w:rPr>
              <w:t xml:space="preserve">Land Degradation Neutrality (LDN) and can be used by countries to analyse the data as well as to report to UNCCD. The methodology is detailed on the </w:t>
            </w:r>
            <w:hyperlink r:id="rId14" w:history="1">
              <w:proofErr w:type="spellStart"/>
              <w:r w:rsidR="00990C46" w:rsidRPr="00441219">
                <w:rPr>
                  <w:rStyle w:val="Hyperlink"/>
                  <w:rFonts w:ascii="Arial" w:hAnsi="Arial"/>
                  <w:sz w:val="18"/>
                  <w:lang w:val="en-GB"/>
                </w:rPr>
                <w:t>Trends.Earth</w:t>
              </w:r>
              <w:proofErr w:type="spellEnd"/>
            </w:hyperlink>
            <w:r w:rsidR="00990C46" w:rsidRPr="00441219">
              <w:rPr>
                <w:rFonts w:asciiTheme="minorHAnsi" w:hAnsiTheme="minorHAnsi"/>
                <w:sz w:val="24"/>
                <w:lang w:val="en-GB"/>
              </w:rPr>
              <w:t xml:space="preserve"> </w:t>
            </w:r>
            <w:r w:rsidR="00990C46" w:rsidRPr="00E3200E">
              <w:rPr>
                <w:rFonts w:ascii="Arial" w:hAnsi="Arial"/>
                <w:sz w:val="18"/>
                <w:lang w:val="en-GB"/>
              </w:rPr>
              <w:t>website.</w:t>
            </w:r>
          </w:p>
        </w:tc>
      </w:tr>
      <w:tr w:rsidR="00FB2842" w:rsidRPr="00D127D7" w14:paraId="28F63BF5" w14:textId="77777777" w:rsidTr="0002778B">
        <w:tc>
          <w:tcPr>
            <w:tcW w:w="9657" w:type="dxa"/>
            <w:gridSpan w:val="4"/>
            <w:shd w:val="clear" w:color="auto" w:fill="D9D9D9"/>
          </w:tcPr>
          <w:p w14:paraId="2323A178" w14:textId="6A7D67C9" w:rsidR="00FB2842" w:rsidRPr="00D127D7" w:rsidRDefault="00FB2842" w:rsidP="0002778B">
            <w:pPr>
              <w:tabs>
                <w:tab w:val="left" w:pos="2126"/>
              </w:tabs>
              <w:spacing w:before="120" w:after="80" w:line="240" w:lineRule="atLeast"/>
              <w:rPr>
                <w:rFonts w:ascii="Arial" w:hAnsi="Arial"/>
                <w:b/>
                <w:i/>
                <w:color w:val="005A8C"/>
                <w:sz w:val="18"/>
                <w:lang w:val="en-GB"/>
              </w:rPr>
            </w:pPr>
            <w:r w:rsidRPr="00D127D7">
              <w:rPr>
                <w:rFonts w:ascii="Arial" w:hAnsi="Arial"/>
                <w:b/>
                <w:color w:val="005A8C"/>
                <w:sz w:val="18"/>
                <w:lang w:val="en-GB"/>
              </w:rPr>
              <w:lastRenderedPageBreak/>
              <w:t>Opportunities for Earth Observation</w:t>
            </w:r>
          </w:p>
        </w:tc>
      </w:tr>
      <w:tr w:rsidR="00FB2842" w:rsidRPr="00D127D7" w14:paraId="5B7292F0" w14:textId="77777777" w:rsidTr="005411D9">
        <w:tc>
          <w:tcPr>
            <w:tcW w:w="1412" w:type="dxa"/>
          </w:tcPr>
          <w:p w14:paraId="0966E4CC" w14:textId="77777777" w:rsidR="00FB2842" w:rsidRPr="00D127D7" w:rsidRDefault="00FB2842" w:rsidP="0002778B">
            <w:pPr>
              <w:tabs>
                <w:tab w:val="left" w:pos="2126"/>
              </w:tabs>
              <w:spacing w:before="120" w:after="80" w:line="240" w:lineRule="atLeast"/>
              <w:rPr>
                <w:rFonts w:ascii="Arial" w:hAnsi="Arial"/>
                <w:color w:val="005A8C"/>
                <w:sz w:val="18"/>
                <w:lang w:val="en-GB"/>
              </w:rPr>
            </w:pPr>
            <w:r w:rsidRPr="00D127D7">
              <w:rPr>
                <w:rFonts w:ascii="Arial" w:hAnsi="Arial"/>
                <w:color w:val="005A8C"/>
                <w:sz w:val="18"/>
                <w:lang w:val="en-GB"/>
              </w:rPr>
              <w:t>Opportunities for EO</w:t>
            </w:r>
          </w:p>
        </w:tc>
        <w:tc>
          <w:tcPr>
            <w:tcW w:w="8245" w:type="dxa"/>
            <w:gridSpan w:val="3"/>
          </w:tcPr>
          <w:p w14:paraId="7DEFD1E6" w14:textId="34C4633A" w:rsidR="009F3D91" w:rsidRDefault="0026639F" w:rsidP="00016E74">
            <w:pPr>
              <w:tabs>
                <w:tab w:val="left" w:pos="2126"/>
              </w:tabs>
              <w:spacing w:before="120" w:after="80" w:line="240" w:lineRule="atLeast"/>
              <w:rPr>
                <w:rFonts w:ascii="Arial" w:hAnsi="Arial"/>
                <w:sz w:val="18"/>
                <w:lang w:val="en-GB"/>
              </w:rPr>
            </w:pPr>
            <w:r w:rsidRPr="00D127D7">
              <w:rPr>
                <w:rFonts w:ascii="Arial" w:hAnsi="Arial"/>
                <w:sz w:val="18"/>
                <w:lang w:val="en-GB"/>
              </w:rPr>
              <w:t xml:space="preserve">Coarse resolution satellite </w:t>
            </w:r>
            <w:r w:rsidR="007F0DCC" w:rsidRPr="00D127D7">
              <w:rPr>
                <w:rFonts w:ascii="Arial" w:hAnsi="Arial"/>
                <w:sz w:val="18"/>
                <w:lang w:val="en-GB"/>
              </w:rPr>
              <w:t>EO</w:t>
            </w:r>
            <w:r w:rsidRPr="00D127D7">
              <w:rPr>
                <w:rFonts w:ascii="Arial" w:hAnsi="Arial"/>
                <w:sz w:val="18"/>
                <w:lang w:val="en-GB"/>
              </w:rPr>
              <w:t xml:space="preserve"> has already been proven to be an ideal tool to</w:t>
            </w:r>
            <w:r w:rsidR="007F0DCC" w:rsidRPr="00D127D7">
              <w:rPr>
                <w:rFonts w:ascii="Arial" w:hAnsi="Arial"/>
                <w:sz w:val="18"/>
                <w:lang w:val="en-GB"/>
              </w:rPr>
              <w:t xml:space="preserve"> </w:t>
            </w:r>
            <w:r w:rsidRPr="00D127D7">
              <w:rPr>
                <w:rFonts w:ascii="Arial" w:hAnsi="Arial"/>
                <w:sz w:val="18"/>
                <w:lang w:val="en-GB"/>
              </w:rPr>
              <w:t>monitor land degradation on a larger scale. With ESA’s Copernicus Sentinel-2 constellation being operational the ability for near-real-time monitoring of land use and land use changes as well as land productivity at high temporal and spatial resolution has significantly increased.</w:t>
            </w:r>
            <w:r w:rsidR="00231573">
              <w:rPr>
                <w:rFonts w:ascii="Arial" w:hAnsi="Arial"/>
                <w:sz w:val="18"/>
                <w:lang w:val="en-GB"/>
              </w:rPr>
              <w:t xml:space="preserve"> </w:t>
            </w:r>
            <w:r w:rsidR="00F3667F" w:rsidRPr="00F3667F">
              <w:rPr>
                <w:rFonts w:ascii="Arial" w:hAnsi="Arial"/>
                <w:sz w:val="18"/>
                <w:lang w:val="en-GB"/>
              </w:rPr>
              <w:t>H</w:t>
            </w:r>
            <w:r w:rsidR="009F3D91" w:rsidRPr="00F3667F">
              <w:rPr>
                <w:rFonts w:ascii="Arial" w:hAnsi="Arial"/>
                <w:sz w:val="18"/>
                <w:lang w:val="en-GB"/>
              </w:rPr>
              <w:t>R regional and global datasets derived from EO and</w:t>
            </w:r>
            <w:r w:rsidR="009F3D91" w:rsidRPr="00D127D7">
              <w:rPr>
                <w:rFonts w:ascii="Arial" w:hAnsi="Arial"/>
                <w:sz w:val="18"/>
                <w:lang w:val="en-GB"/>
              </w:rPr>
              <w:t xml:space="preserve"> geospatial information can play an important role to enhance national data sources and complement the results of </w:t>
            </w:r>
            <w:proofErr w:type="spellStart"/>
            <w:r w:rsidR="009F3D91" w:rsidRPr="00D127D7">
              <w:rPr>
                <w:rFonts w:ascii="Arial" w:hAnsi="Arial"/>
                <w:sz w:val="18"/>
                <w:lang w:val="en-GB"/>
              </w:rPr>
              <w:t>Trends.Earth</w:t>
            </w:r>
            <w:proofErr w:type="spellEnd"/>
            <w:r w:rsidR="009F3D91" w:rsidRPr="00D127D7">
              <w:rPr>
                <w:rFonts w:ascii="Arial" w:hAnsi="Arial"/>
                <w:sz w:val="18"/>
                <w:lang w:val="en-GB"/>
              </w:rPr>
              <w:t xml:space="preserve">. These datasets can help validate and improve national statistics for greater accuracy by ensuring that the data are </w:t>
            </w:r>
            <w:r w:rsidR="00352FB2" w:rsidRPr="00D127D7">
              <w:rPr>
                <w:rFonts w:ascii="Arial" w:hAnsi="Arial"/>
                <w:sz w:val="18"/>
                <w:lang w:val="en-GB"/>
              </w:rPr>
              <w:t>spatially explicit</w:t>
            </w:r>
            <w:r w:rsidR="009F3D91" w:rsidRPr="00D127D7">
              <w:rPr>
                <w:rFonts w:ascii="Arial" w:hAnsi="Arial"/>
                <w:sz w:val="18"/>
                <w:lang w:val="en-GB"/>
              </w:rPr>
              <w:t xml:space="preserve">. While access to HR remote sensing imagery has improved dramatically in recent years, there is still a need for essential historical time series that </w:t>
            </w:r>
            <w:r w:rsidR="001F46B6">
              <w:rPr>
                <w:rFonts w:ascii="Arial" w:hAnsi="Arial"/>
                <w:sz w:val="18"/>
                <w:lang w:val="en-GB"/>
              </w:rPr>
              <w:t>are</w:t>
            </w:r>
            <w:r w:rsidR="001F46B6" w:rsidRPr="00D127D7">
              <w:rPr>
                <w:rFonts w:ascii="Arial" w:hAnsi="Arial"/>
                <w:sz w:val="18"/>
                <w:lang w:val="en-GB"/>
              </w:rPr>
              <w:t xml:space="preserve"> </w:t>
            </w:r>
            <w:r w:rsidR="009F3D91" w:rsidRPr="00D127D7">
              <w:rPr>
                <w:rFonts w:ascii="Arial" w:hAnsi="Arial"/>
                <w:sz w:val="18"/>
                <w:lang w:val="en-GB"/>
              </w:rPr>
              <w:t>currently only available at coarse to medium resolution. The expectation is that the availability of HR, locally-calibrated datasets will increase rapidly in the near future due to among others the Copernicus Sentinels. National capacities to process, interpret and validate geospatial data still need to be enhanced in many countries.</w:t>
            </w:r>
          </w:p>
          <w:p w14:paraId="4B6421D4" w14:textId="69028B2D" w:rsidR="002E415A" w:rsidRPr="00352FB2" w:rsidRDefault="00352FB2" w:rsidP="007C6F18">
            <w:pPr>
              <w:tabs>
                <w:tab w:val="left" w:pos="2126"/>
              </w:tabs>
              <w:spacing w:before="120" w:after="80" w:line="240" w:lineRule="atLeast"/>
              <w:rPr>
                <w:rFonts w:ascii="Arial" w:hAnsi="Arial"/>
                <w:sz w:val="18"/>
                <w:lang w:val="en-GB"/>
              </w:rPr>
            </w:pPr>
            <w:r w:rsidRPr="00352FB2">
              <w:rPr>
                <w:rFonts w:ascii="Arial" w:hAnsi="Arial"/>
                <w:sz w:val="18"/>
                <w:lang w:val="en-GB"/>
              </w:rPr>
              <w:t>For the derivation of the baseline period and the baseline year 2015 it is possible to exploit the Landsat 5 to 8 archive to derive the land cover change sub-indicators on a higher spatial resolution</w:t>
            </w:r>
            <w:r>
              <w:rPr>
                <w:rFonts w:ascii="Arial" w:hAnsi="Arial"/>
                <w:sz w:val="18"/>
                <w:lang w:val="en-GB"/>
              </w:rPr>
              <w:t xml:space="preserve">. While for land productivity the same data can be used to estimate land productivity changes, this process is </w:t>
            </w:r>
            <w:r w:rsidRPr="00091B38">
              <w:rPr>
                <w:rFonts w:ascii="Arial" w:hAnsi="Arial"/>
                <w:sz w:val="18"/>
              </w:rPr>
              <w:t xml:space="preserve">more challenging due to the need </w:t>
            </w:r>
            <w:r w:rsidR="00AE3D92" w:rsidRPr="00091B38">
              <w:rPr>
                <w:rFonts w:ascii="Arial" w:hAnsi="Arial"/>
                <w:sz w:val="18"/>
              </w:rPr>
              <w:t>of</w:t>
            </w:r>
            <w:r w:rsidRPr="00091B38">
              <w:rPr>
                <w:rFonts w:ascii="Arial" w:hAnsi="Arial"/>
                <w:sz w:val="18"/>
              </w:rPr>
              <w:t xml:space="preserve"> captur</w:t>
            </w:r>
            <w:r w:rsidR="00AE3D92" w:rsidRPr="00091B38">
              <w:rPr>
                <w:rFonts w:ascii="Arial" w:hAnsi="Arial"/>
                <w:sz w:val="18"/>
              </w:rPr>
              <w:t>ing</w:t>
            </w:r>
            <w:r w:rsidRPr="00091B38">
              <w:rPr>
                <w:rFonts w:ascii="Arial" w:hAnsi="Arial"/>
                <w:sz w:val="18"/>
              </w:rPr>
              <w:t xml:space="preserve"> vegetation phenology. In some instances, the temporal resolution of historical Landsat data might not be enough for certain places (e.g. tropics) or time periods. </w:t>
            </w:r>
            <w:r w:rsidRPr="005C3D19">
              <w:rPr>
                <w:rFonts w:ascii="Arial" w:hAnsi="Arial"/>
                <w:sz w:val="18"/>
              </w:rPr>
              <w:t xml:space="preserve">For </w:t>
            </w:r>
            <w:r w:rsidR="00D50D53" w:rsidRPr="00D127D7">
              <w:rPr>
                <w:rFonts w:ascii="Arial" w:hAnsi="Arial"/>
                <w:sz w:val="18"/>
                <w:lang w:val="en-GB"/>
              </w:rPr>
              <w:t xml:space="preserve">SOC changes the application of </w:t>
            </w:r>
            <w:r w:rsidR="00BD7AD1" w:rsidRPr="00D127D7">
              <w:rPr>
                <w:rFonts w:ascii="Arial" w:hAnsi="Arial"/>
                <w:sz w:val="18"/>
                <w:lang w:val="en-GB"/>
              </w:rPr>
              <w:t>high-resolution</w:t>
            </w:r>
            <w:r w:rsidR="00D50D53" w:rsidRPr="00D127D7">
              <w:rPr>
                <w:rFonts w:ascii="Arial" w:hAnsi="Arial"/>
                <w:sz w:val="18"/>
                <w:lang w:val="en-GB"/>
              </w:rPr>
              <w:t xml:space="preserve"> satellite EO imagery is rather limited</w:t>
            </w:r>
            <w:r>
              <w:rPr>
                <w:rFonts w:ascii="Arial" w:hAnsi="Arial"/>
                <w:sz w:val="18"/>
                <w:lang w:val="en-GB"/>
              </w:rPr>
              <w:t xml:space="preserve"> and needs to be further explored.</w:t>
            </w:r>
          </w:p>
        </w:tc>
      </w:tr>
      <w:tr w:rsidR="00FB2842" w:rsidRPr="00D127D7" w14:paraId="5A3516BF" w14:textId="77777777" w:rsidTr="005411D9">
        <w:tc>
          <w:tcPr>
            <w:tcW w:w="1412" w:type="dxa"/>
          </w:tcPr>
          <w:p w14:paraId="557BE19F" w14:textId="4C20ED0C" w:rsidR="00FB2842" w:rsidRPr="00D127D7" w:rsidRDefault="005411D9" w:rsidP="0002778B">
            <w:pPr>
              <w:tabs>
                <w:tab w:val="left" w:pos="2126"/>
              </w:tabs>
              <w:spacing w:before="120" w:after="80" w:line="240" w:lineRule="atLeast"/>
              <w:rPr>
                <w:rFonts w:ascii="Arial" w:hAnsi="Arial"/>
                <w:color w:val="005A8C"/>
                <w:sz w:val="18"/>
                <w:lang w:val="en-GB"/>
              </w:rPr>
            </w:pPr>
            <w:r>
              <w:rPr>
                <w:rFonts w:ascii="Arial" w:hAnsi="Arial"/>
                <w:color w:val="005A8C"/>
                <w:sz w:val="18"/>
                <w:lang w:val="en-GB"/>
              </w:rPr>
              <w:lastRenderedPageBreak/>
              <w:t>EO Data availability</w:t>
            </w:r>
          </w:p>
        </w:tc>
        <w:tc>
          <w:tcPr>
            <w:tcW w:w="8245" w:type="dxa"/>
            <w:gridSpan w:val="3"/>
          </w:tcPr>
          <w:p w14:paraId="0CE5D3D7" w14:textId="58C918A0" w:rsidR="005411D9" w:rsidRPr="00EE5F65" w:rsidRDefault="005411D9" w:rsidP="005411D9">
            <w:pPr>
              <w:tabs>
                <w:tab w:val="left" w:pos="2126"/>
              </w:tabs>
              <w:spacing w:beforeLines="60" w:before="144" w:afterLines="60" w:after="144" w:line="240" w:lineRule="atLeast"/>
              <w:rPr>
                <w:rFonts w:ascii="Arial" w:hAnsi="Arial"/>
                <w:sz w:val="18"/>
                <w:lang w:val="en-US"/>
              </w:rPr>
            </w:pPr>
            <w:r w:rsidRPr="00EE5F65">
              <w:rPr>
                <w:rFonts w:ascii="Arial" w:hAnsi="Arial"/>
                <w:sz w:val="18"/>
                <w:lang w:val="en-US"/>
              </w:rPr>
              <w:t xml:space="preserve">There </w:t>
            </w:r>
            <w:r w:rsidR="005C3D19">
              <w:rPr>
                <w:rFonts w:ascii="Arial" w:hAnsi="Arial"/>
                <w:sz w:val="18"/>
                <w:lang w:val="en-US"/>
              </w:rPr>
              <w:t>is</w:t>
            </w:r>
            <w:r w:rsidR="005C3D19" w:rsidRPr="00EE5F65">
              <w:rPr>
                <w:rFonts w:ascii="Arial" w:hAnsi="Arial"/>
                <w:sz w:val="18"/>
                <w:lang w:val="en-US"/>
              </w:rPr>
              <w:t xml:space="preserve"> </w:t>
            </w:r>
            <w:r w:rsidRPr="00EE5F65">
              <w:rPr>
                <w:rFonts w:ascii="Arial" w:hAnsi="Arial"/>
                <w:sz w:val="18"/>
                <w:lang w:val="en-US"/>
              </w:rPr>
              <w:t>a range of satellite data sources and global data products which could be used within the indicator reporting. In addition, there are several online platform</w:t>
            </w:r>
            <w:r w:rsidR="005C3D19">
              <w:rPr>
                <w:rFonts w:ascii="Arial" w:hAnsi="Arial"/>
                <w:sz w:val="18"/>
                <w:lang w:val="en-US"/>
              </w:rPr>
              <w:t>s</w:t>
            </w:r>
            <w:r w:rsidRPr="00EE5F65">
              <w:rPr>
                <w:rFonts w:ascii="Arial" w:hAnsi="Arial"/>
                <w:sz w:val="18"/>
                <w:lang w:val="en-US"/>
              </w:rPr>
              <w:t xml:space="preserve"> and tools </w:t>
            </w:r>
            <w:r w:rsidR="005C3D19">
              <w:rPr>
                <w:rFonts w:ascii="Arial" w:hAnsi="Arial"/>
                <w:sz w:val="18"/>
                <w:lang w:val="en-US"/>
              </w:rPr>
              <w:t>that</w:t>
            </w:r>
            <w:r w:rsidR="005C3D19" w:rsidRPr="00EE5F65">
              <w:rPr>
                <w:rFonts w:ascii="Arial" w:hAnsi="Arial"/>
                <w:sz w:val="18"/>
                <w:lang w:val="en-US"/>
              </w:rPr>
              <w:t xml:space="preserve"> </w:t>
            </w:r>
            <w:r w:rsidRPr="00EE5F65">
              <w:rPr>
                <w:rFonts w:ascii="Arial" w:hAnsi="Arial"/>
                <w:sz w:val="18"/>
                <w:lang w:val="en-US"/>
              </w:rPr>
              <w:t xml:space="preserve">provide options and support for accessing or deriving various inputs for computation of indicator 15.3.1. </w:t>
            </w:r>
          </w:p>
          <w:p w14:paraId="410CE576" w14:textId="205243C2" w:rsidR="005411D9" w:rsidRPr="00EE5F65" w:rsidRDefault="005411D9" w:rsidP="00E87642">
            <w:pPr>
              <w:tabs>
                <w:tab w:val="left" w:pos="2126"/>
              </w:tabs>
              <w:spacing w:before="120" w:after="80" w:line="240" w:lineRule="atLeast"/>
              <w:rPr>
                <w:rFonts w:ascii="Arial" w:hAnsi="Arial"/>
                <w:b/>
                <w:bCs/>
                <w:sz w:val="18"/>
                <w:lang w:val="en-US"/>
              </w:rPr>
            </w:pPr>
            <w:r w:rsidRPr="00EE5F65">
              <w:rPr>
                <w:rFonts w:ascii="Arial" w:hAnsi="Arial"/>
                <w:b/>
                <w:bCs/>
                <w:sz w:val="18"/>
                <w:lang w:val="en-US"/>
              </w:rPr>
              <w:t>Satellite Data</w:t>
            </w:r>
          </w:p>
          <w:p w14:paraId="7F6F79C6" w14:textId="7B527BC7" w:rsidR="005411D9" w:rsidRPr="00EE5F65" w:rsidRDefault="005411D9" w:rsidP="005411D9">
            <w:pPr>
              <w:tabs>
                <w:tab w:val="left" w:pos="2126"/>
              </w:tabs>
              <w:spacing w:beforeLines="60" w:before="144" w:afterLines="60" w:after="144" w:line="240" w:lineRule="atLeast"/>
              <w:rPr>
                <w:rFonts w:ascii="Arial" w:hAnsi="Arial"/>
                <w:sz w:val="18"/>
                <w:lang w:val="en-US"/>
              </w:rPr>
            </w:pPr>
            <w:r w:rsidRPr="00EE5F65">
              <w:rPr>
                <w:rFonts w:ascii="Arial" w:hAnsi="Arial"/>
                <w:sz w:val="18"/>
                <w:lang w:val="en-US"/>
              </w:rPr>
              <w:t>Raw satellite imagery for assessing land cover as well as land productivity changes can be obtained from public and freely accessible data collections. A summary of the available options is provided in the table below:</w:t>
            </w:r>
          </w:p>
          <w:tbl>
            <w:tblPr>
              <w:tblStyle w:val="GridTable4-Accent1"/>
              <w:tblW w:w="10545" w:type="dxa"/>
              <w:tblLayout w:type="fixed"/>
              <w:tblLook w:val="04A0" w:firstRow="1" w:lastRow="0" w:firstColumn="1" w:lastColumn="0" w:noHBand="0" w:noVBand="1"/>
            </w:tblPr>
            <w:tblGrid>
              <w:gridCol w:w="1319"/>
              <w:gridCol w:w="1318"/>
              <w:gridCol w:w="1318"/>
              <w:gridCol w:w="1318"/>
              <w:gridCol w:w="1318"/>
              <w:gridCol w:w="1318"/>
              <w:gridCol w:w="1318"/>
              <w:gridCol w:w="1318"/>
            </w:tblGrid>
            <w:tr w:rsidR="00713DFD" w:rsidRPr="00EE5F65" w14:paraId="758B34C9" w14:textId="77777777" w:rsidTr="003B3BD7">
              <w:trPr>
                <w:gridAfter w:val="1"/>
                <w:cnfStyle w:val="100000000000" w:firstRow="1" w:lastRow="0" w:firstColumn="0" w:lastColumn="0" w:oddVBand="0" w:evenVBand="0" w:oddHBand="0" w:evenHBand="0" w:firstRowFirstColumn="0" w:firstRowLastColumn="0" w:lastRowFirstColumn="0" w:lastRowLastColumn="0"/>
                <w:wAfter w:w="2495" w:type="dxa"/>
                <w:trHeight w:val="453"/>
              </w:trPr>
              <w:tc>
                <w:tcPr>
                  <w:cnfStyle w:val="001000000000" w:firstRow="0" w:lastRow="0" w:firstColumn="1" w:lastColumn="0" w:oddVBand="0" w:evenVBand="0" w:oddHBand="0" w:evenHBand="0" w:firstRowFirstColumn="0" w:firstRowLastColumn="0" w:lastRowFirstColumn="0" w:lastRowLastColumn="0"/>
                  <w:tcW w:w="0" w:type="pct"/>
                </w:tcPr>
                <w:p w14:paraId="729F9464" w14:textId="77777777" w:rsidR="00AE3D92" w:rsidRPr="00EE5F65" w:rsidRDefault="00AE3D92" w:rsidP="003B3BD7">
                  <w:pPr>
                    <w:tabs>
                      <w:tab w:val="left" w:pos="2126"/>
                    </w:tabs>
                    <w:spacing w:before="80" w:after="80"/>
                    <w:jc w:val="center"/>
                    <w:rPr>
                      <w:rFonts w:ascii="Arial" w:hAnsi="Arial"/>
                      <w:sz w:val="16"/>
                      <w:lang w:val="en-US"/>
                    </w:rPr>
                  </w:pPr>
                  <w:r w:rsidRPr="00EE5F65">
                    <w:rPr>
                      <w:rFonts w:ascii="Arial" w:hAnsi="Arial"/>
                      <w:sz w:val="16"/>
                      <w:lang w:val="en-US"/>
                    </w:rPr>
                    <w:t>Sensor</w:t>
                  </w:r>
                </w:p>
              </w:tc>
              <w:tc>
                <w:tcPr>
                  <w:tcW w:w="0" w:type="pct"/>
                </w:tcPr>
                <w:p w14:paraId="6F0CBD15" w14:textId="77777777" w:rsidR="00AE3D92" w:rsidRPr="00EE5F65" w:rsidRDefault="00AE3D92" w:rsidP="003B3BD7">
                  <w:pPr>
                    <w:tabs>
                      <w:tab w:val="left" w:pos="2126"/>
                    </w:tabs>
                    <w:spacing w:before="80" w:after="80"/>
                    <w:jc w:val="center"/>
                    <w:cnfStyle w:val="100000000000" w:firstRow="1" w:lastRow="0" w:firstColumn="0" w:lastColumn="0" w:oddVBand="0" w:evenVBand="0" w:oddHBand="0" w:evenHBand="0" w:firstRowFirstColumn="0" w:firstRowLastColumn="0" w:lastRowFirstColumn="0" w:lastRowLastColumn="0"/>
                    <w:rPr>
                      <w:rFonts w:ascii="Arial" w:hAnsi="Arial"/>
                      <w:sz w:val="16"/>
                      <w:lang w:val="en-US"/>
                    </w:rPr>
                  </w:pPr>
                  <w:r w:rsidRPr="00EE5F65">
                    <w:rPr>
                      <w:rFonts w:ascii="Arial" w:hAnsi="Arial"/>
                      <w:sz w:val="16"/>
                      <w:lang w:val="en-US"/>
                    </w:rPr>
                    <w:t>Type</w:t>
                  </w:r>
                </w:p>
              </w:tc>
              <w:tc>
                <w:tcPr>
                  <w:tcW w:w="0" w:type="pct"/>
                </w:tcPr>
                <w:p w14:paraId="054375D9" w14:textId="77777777" w:rsidR="00713DFD" w:rsidRDefault="00AE3D92" w:rsidP="003B3BD7">
                  <w:pPr>
                    <w:tabs>
                      <w:tab w:val="left" w:pos="2126"/>
                    </w:tabs>
                    <w:spacing w:before="80" w:after="80"/>
                    <w:jc w:val="center"/>
                    <w:cnfStyle w:val="100000000000" w:firstRow="1" w:lastRow="0" w:firstColumn="0" w:lastColumn="0" w:oddVBand="0" w:evenVBand="0" w:oddHBand="0" w:evenHBand="0" w:firstRowFirstColumn="0" w:firstRowLastColumn="0" w:lastRowFirstColumn="0" w:lastRowLastColumn="0"/>
                    <w:rPr>
                      <w:rFonts w:ascii="Arial" w:hAnsi="Arial"/>
                      <w:b w:val="0"/>
                      <w:bCs w:val="0"/>
                      <w:sz w:val="16"/>
                      <w:lang w:val="en-US"/>
                    </w:rPr>
                  </w:pPr>
                  <w:r w:rsidRPr="00EE5F65">
                    <w:rPr>
                      <w:rFonts w:ascii="Arial" w:hAnsi="Arial"/>
                      <w:sz w:val="16"/>
                      <w:lang w:val="en-US"/>
                    </w:rPr>
                    <w:t xml:space="preserve">Spatial </w:t>
                  </w:r>
                </w:p>
                <w:p w14:paraId="56BEB91A" w14:textId="60826401" w:rsidR="00AE3D92" w:rsidRPr="00EE5F65" w:rsidRDefault="00AE3D92" w:rsidP="003B3BD7">
                  <w:pPr>
                    <w:tabs>
                      <w:tab w:val="left" w:pos="2126"/>
                    </w:tabs>
                    <w:spacing w:before="80" w:after="80"/>
                    <w:jc w:val="center"/>
                    <w:cnfStyle w:val="100000000000" w:firstRow="1" w:lastRow="0" w:firstColumn="0" w:lastColumn="0" w:oddVBand="0" w:evenVBand="0" w:oddHBand="0" w:evenHBand="0" w:firstRowFirstColumn="0" w:firstRowLastColumn="0" w:lastRowFirstColumn="0" w:lastRowLastColumn="0"/>
                    <w:rPr>
                      <w:rFonts w:ascii="Arial" w:hAnsi="Arial"/>
                      <w:sz w:val="16"/>
                      <w:lang w:val="en-US"/>
                    </w:rPr>
                  </w:pPr>
                  <w:r w:rsidRPr="00EE5F65">
                    <w:rPr>
                      <w:rFonts w:ascii="Arial" w:hAnsi="Arial"/>
                      <w:sz w:val="16"/>
                      <w:lang w:val="en-US"/>
                    </w:rPr>
                    <w:t>resolution</w:t>
                  </w:r>
                </w:p>
              </w:tc>
              <w:tc>
                <w:tcPr>
                  <w:tcW w:w="0" w:type="pct"/>
                </w:tcPr>
                <w:p w14:paraId="1BE30E10" w14:textId="5BF8E792" w:rsidR="00AE3D92" w:rsidRDefault="00AE3D92" w:rsidP="003B3BD7">
                  <w:pPr>
                    <w:tabs>
                      <w:tab w:val="left" w:pos="2126"/>
                    </w:tabs>
                    <w:spacing w:before="80" w:after="80"/>
                    <w:jc w:val="center"/>
                    <w:cnfStyle w:val="100000000000" w:firstRow="1" w:lastRow="0" w:firstColumn="0" w:lastColumn="0" w:oddVBand="0" w:evenVBand="0" w:oddHBand="0" w:evenHBand="0" w:firstRowFirstColumn="0" w:firstRowLastColumn="0" w:lastRowFirstColumn="0" w:lastRowLastColumn="0"/>
                    <w:rPr>
                      <w:rFonts w:ascii="Arial" w:hAnsi="Arial"/>
                      <w:b w:val="0"/>
                      <w:bCs w:val="0"/>
                      <w:sz w:val="16"/>
                      <w:lang w:val="en-US"/>
                    </w:rPr>
                  </w:pPr>
                  <w:r>
                    <w:rPr>
                      <w:rFonts w:ascii="Arial" w:hAnsi="Arial"/>
                      <w:sz w:val="16"/>
                      <w:lang w:val="en-US"/>
                    </w:rPr>
                    <w:t>Revisit</w:t>
                  </w:r>
                </w:p>
                <w:p w14:paraId="5A3686CB" w14:textId="657A3228" w:rsidR="00AE3D92" w:rsidRPr="00EE5F65" w:rsidRDefault="00AE3D92" w:rsidP="003B3BD7">
                  <w:pPr>
                    <w:tabs>
                      <w:tab w:val="left" w:pos="2126"/>
                    </w:tabs>
                    <w:spacing w:before="80" w:after="80"/>
                    <w:jc w:val="center"/>
                    <w:cnfStyle w:val="100000000000" w:firstRow="1" w:lastRow="0" w:firstColumn="0" w:lastColumn="0" w:oddVBand="0" w:evenVBand="0" w:oddHBand="0" w:evenHBand="0" w:firstRowFirstColumn="0" w:firstRowLastColumn="0" w:lastRowFirstColumn="0" w:lastRowLastColumn="0"/>
                    <w:rPr>
                      <w:rFonts w:ascii="Arial" w:hAnsi="Arial"/>
                      <w:sz w:val="16"/>
                      <w:lang w:val="en-US"/>
                    </w:rPr>
                  </w:pPr>
                  <w:r>
                    <w:rPr>
                      <w:rFonts w:ascii="Arial" w:hAnsi="Arial"/>
                      <w:sz w:val="16"/>
                      <w:lang w:val="en-US"/>
                    </w:rPr>
                    <w:t>time</w:t>
                  </w:r>
                </w:p>
              </w:tc>
              <w:tc>
                <w:tcPr>
                  <w:tcW w:w="0" w:type="pct"/>
                </w:tcPr>
                <w:p w14:paraId="6DCFF8A1" w14:textId="76D8B589" w:rsidR="00AE3D92" w:rsidRPr="00EE5F65" w:rsidRDefault="00AE3D92" w:rsidP="003B3BD7">
                  <w:pPr>
                    <w:tabs>
                      <w:tab w:val="left" w:pos="2126"/>
                    </w:tabs>
                    <w:spacing w:before="80" w:after="80"/>
                    <w:jc w:val="center"/>
                    <w:cnfStyle w:val="100000000000" w:firstRow="1" w:lastRow="0" w:firstColumn="0" w:lastColumn="0" w:oddVBand="0" w:evenVBand="0" w:oddHBand="0" w:evenHBand="0" w:firstRowFirstColumn="0" w:firstRowLastColumn="0" w:lastRowFirstColumn="0" w:lastRowLastColumn="0"/>
                    <w:rPr>
                      <w:rFonts w:ascii="Arial" w:hAnsi="Arial"/>
                      <w:sz w:val="16"/>
                      <w:lang w:val="en-US"/>
                    </w:rPr>
                  </w:pPr>
                  <w:r w:rsidRPr="00EE5F65">
                    <w:rPr>
                      <w:rFonts w:ascii="Arial" w:hAnsi="Arial"/>
                      <w:sz w:val="16"/>
                      <w:lang w:val="en-US"/>
                    </w:rPr>
                    <w:t>Temporal coverage</w:t>
                  </w:r>
                </w:p>
              </w:tc>
              <w:tc>
                <w:tcPr>
                  <w:tcW w:w="0" w:type="pct"/>
                </w:tcPr>
                <w:p w14:paraId="5E821EB0" w14:textId="6533D92B" w:rsidR="00AE3D92" w:rsidRPr="00EE5F65" w:rsidRDefault="00DF20A6" w:rsidP="003B3BD7">
                  <w:pPr>
                    <w:tabs>
                      <w:tab w:val="left" w:pos="2126"/>
                    </w:tabs>
                    <w:spacing w:before="80" w:after="80"/>
                    <w:jc w:val="center"/>
                    <w:cnfStyle w:val="100000000000" w:firstRow="1" w:lastRow="0" w:firstColumn="0" w:lastColumn="0" w:oddVBand="0" w:evenVBand="0" w:oddHBand="0" w:evenHBand="0" w:firstRowFirstColumn="0" w:firstRowLastColumn="0" w:lastRowFirstColumn="0" w:lastRowLastColumn="0"/>
                    <w:rPr>
                      <w:rFonts w:ascii="Arial" w:hAnsi="Arial"/>
                      <w:sz w:val="16"/>
                      <w:lang w:val="en-US"/>
                    </w:rPr>
                  </w:pPr>
                  <w:r>
                    <w:rPr>
                      <w:rFonts w:ascii="Arial" w:hAnsi="Arial"/>
                      <w:sz w:val="16"/>
                      <w:lang w:val="en-US"/>
                    </w:rPr>
                    <w:t>Data policy</w:t>
                  </w:r>
                </w:p>
              </w:tc>
              <w:tc>
                <w:tcPr>
                  <w:tcW w:w="0" w:type="pct"/>
                </w:tcPr>
                <w:p w14:paraId="40E03CD9" w14:textId="77777777" w:rsidR="00AE3D92" w:rsidRPr="00EE5F65" w:rsidRDefault="00AE3D92" w:rsidP="003B3BD7">
                  <w:pPr>
                    <w:tabs>
                      <w:tab w:val="left" w:pos="2126"/>
                    </w:tabs>
                    <w:spacing w:before="80" w:after="80"/>
                    <w:jc w:val="center"/>
                    <w:cnfStyle w:val="100000000000" w:firstRow="1" w:lastRow="0" w:firstColumn="0" w:lastColumn="0" w:oddVBand="0" w:evenVBand="0" w:oddHBand="0" w:evenHBand="0" w:firstRowFirstColumn="0" w:firstRowLastColumn="0" w:lastRowFirstColumn="0" w:lastRowLastColumn="0"/>
                    <w:rPr>
                      <w:rFonts w:ascii="Arial" w:hAnsi="Arial"/>
                      <w:sz w:val="16"/>
                      <w:lang w:val="en-US"/>
                    </w:rPr>
                  </w:pPr>
                  <w:r w:rsidRPr="00EE5F65">
                    <w:rPr>
                      <w:rFonts w:ascii="Arial" w:hAnsi="Arial"/>
                      <w:sz w:val="16"/>
                      <w:lang w:val="en-US"/>
                    </w:rPr>
                    <w:t>Comment</w:t>
                  </w:r>
                </w:p>
              </w:tc>
            </w:tr>
            <w:tr w:rsidR="00713DFD" w:rsidRPr="00EE5F65" w14:paraId="3A2C1E45" w14:textId="77777777" w:rsidTr="003B3BD7">
              <w:trPr>
                <w:gridAfter w:val="1"/>
                <w:cnfStyle w:val="000000100000" w:firstRow="0" w:lastRow="0" w:firstColumn="0" w:lastColumn="0" w:oddVBand="0" w:evenVBand="0" w:oddHBand="1" w:evenHBand="0" w:firstRowFirstColumn="0" w:firstRowLastColumn="0" w:lastRowFirstColumn="0" w:lastRowLastColumn="0"/>
                <w:wAfter w:w="2495" w:type="dxa"/>
              </w:trPr>
              <w:tc>
                <w:tcPr>
                  <w:cnfStyle w:val="001000000000" w:firstRow="0" w:lastRow="0" w:firstColumn="1" w:lastColumn="0" w:oddVBand="0" w:evenVBand="0" w:oddHBand="0" w:evenHBand="0" w:firstRowFirstColumn="0" w:firstRowLastColumn="0" w:lastRowFirstColumn="0" w:lastRowLastColumn="0"/>
                  <w:tcW w:w="0" w:type="pct"/>
                </w:tcPr>
                <w:p w14:paraId="0CD5EC5E" w14:textId="60711038" w:rsidR="00AE3D92" w:rsidRPr="00EE5F65" w:rsidRDefault="00AE3D92" w:rsidP="003B3BD7">
                  <w:pPr>
                    <w:tabs>
                      <w:tab w:val="left" w:pos="2126"/>
                    </w:tabs>
                    <w:spacing w:before="80" w:after="80"/>
                    <w:jc w:val="center"/>
                    <w:rPr>
                      <w:rFonts w:ascii="Arial" w:hAnsi="Arial"/>
                      <w:sz w:val="16"/>
                      <w:lang w:val="en-US"/>
                    </w:rPr>
                  </w:pPr>
                  <w:r w:rsidRPr="00EE5F65">
                    <w:rPr>
                      <w:rFonts w:ascii="Arial" w:hAnsi="Arial"/>
                      <w:sz w:val="16"/>
                      <w:lang w:val="en-US"/>
                    </w:rPr>
                    <w:t>Sen</w:t>
                  </w:r>
                  <w:r w:rsidR="005C3D19">
                    <w:rPr>
                      <w:rFonts w:ascii="Arial" w:hAnsi="Arial"/>
                      <w:sz w:val="16"/>
                      <w:lang w:val="en-US"/>
                    </w:rPr>
                    <w:t>t</w:t>
                  </w:r>
                  <w:r w:rsidRPr="00EE5F65">
                    <w:rPr>
                      <w:rFonts w:ascii="Arial" w:hAnsi="Arial"/>
                      <w:sz w:val="16"/>
                      <w:lang w:val="en-US"/>
                    </w:rPr>
                    <w:t>inel-2</w:t>
                  </w:r>
                </w:p>
              </w:tc>
              <w:tc>
                <w:tcPr>
                  <w:tcW w:w="0" w:type="pct"/>
                </w:tcPr>
                <w:p w14:paraId="05D98BEC" w14:textId="77777777" w:rsidR="00AE3D92" w:rsidRPr="00EE5F65" w:rsidRDefault="00AE3D92" w:rsidP="003B3BD7">
                  <w:pPr>
                    <w:tabs>
                      <w:tab w:val="left" w:pos="2126"/>
                    </w:tabs>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sz w:val="16"/>
                      <w:lang w:val="en-US"/>
                    </w:rPr>
                  </w:pPr>
                  <w:r w:rsidRPr="00EE5F65">
                    <w:rPr>
                      <w:rFonts w:ascii="Arial" w:hAnsi="Arial"/>
                      <w:sz w:val="16"/>
                      <w:lang w:val="en-US"/>
                    </w:rPr>
                    <w:t>Multi-spectral</w:t>
                  </w:r>
                </w:p>
              </w:tc>
              <w:tc>
                <w:tcPr>
                  <w:tcW w:w="0" w:type="pct"/>
                </w:tcPr>
                <w:p w14:paraId="05D991F0" w14:textId="77777777" w:rsidR="00AE3D92" w:rsidRPr="00EE5F65" w:rsidRDefault="00AE3D92" w:rsidP="003B3BD7">
                  <w:pPr>
                    <w:tabs>
                      <w:tab w:val="left" w:pos="2126"/>
                    </w:tabs>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sz w:val="16"/>
                      <w:lang w:val="en-US"/>
                    </w:rPr>
                  </w:pPr>
                  <w:r w:rsidRPr="00EE5F65">
                    <w:rPr>
                      <w:rFonts w:ascii="Arial" w:hAnsi="Arial"/>
                      <w:sz w:val="16"/>
                      <w:lang w:val="en-US"/>
                    </w:rPr>
                    <w:t>10 m</w:t>
                  </w:r>
                </w:p>
              </w:tc>
              <w:tc>
                <w:tcPr>
                  <w:tcW w:w="0" w:type="pct"/>
                </w:tcPr>
                <w:p w14:paraId="78717528" w14:textId="4A37DBD2" w:rsidR="00AE3D92" w:rsidRPr="00EE5F65" w:rsidRDefault="00AE3D92" w:rsidP="003B3BD7">
                  <w:pPr>
                    <w:tabs>
                      <w:tab w:val="left" w:pos="2126"/>
                    </w:tabs>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sz w:val="16"/>
                      <w:lang w:val="en-US"/>
                    </w:rPr>
                  </w:pPr>
                  <w:r>
                    <w:rPr>
                      <w:rFonts w:ascii="Arial" w:hAnsi="Arial"/>
                      <w:sz w:val="16"/>
                      <w:lang w:val="en-US"/>
                    </w:rPr>
                    <w:t>5 days</w:t>
                  </w:r>
                </w:p>
              </w:tc>
              <w:tc>
                <w:tcPr>
                  <w:tcW w:w="0" w:type="pct"/>
                </w:tcPr>
                <w:p w14:paraId="06C05651" w14:textId="78DE04F7" w:rsidR="00AE3D92" w:rsidRPr="00EE5F65" w:rsidRDefault="00AE3D92" w:rsidP="003B3BD7">
                  <w:pPr>
                    <w:tabs>
                      <w:tab w:val="left" w:pos="2126"/>
                    </w:tabs>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sz w:val="16"/>
                      <w:lang w:val="en-US"/>
                    </w:rPr>
                  </w:pPr>
                  <w:r w:rsidRPr="00EE5F65">
                    <w:rPr>
                      <w:rFonts w:ascii="Arial" w:hAnsi="Arial"/>
                      <w:sz w:val="16"/>
                      <w:lang w:val="en-US"/>
                    </w:rPr>
                    <w:t>From 2015</w:t>
                  </w:r>
                </w:p>
              </w:tc>
              <w:tc>
                <w:tcPr>
                  <w:tcW w:w="0" w:type="pct"/>
                </w:tcPr>
                <w:p w14:paraId="1BBC28C3" w14:textId="3D96806B" w:rsidR="00AE3D92" w:rsidRPr="00EE5F65" w:rsidRDefault="00AE3D92" w:rsidP="003B3BD7">
                  <w:pPr>
                    <w:tabs>
                      <w:tab w:val="left" w:pos="2126"/>
                    </w:tabs>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sz w:val="16"/>
                      <w:lang w:val="en-US"/>
                    </w:rPr>
                  </w:pPr>
                  <w:r w:rsidRPr="00EE5F65">
                    <w:rPr>
                      <w:rFonts w:ascii="Arial" w:hAnsi="Arial"/>
                      <w:sz w:val="16"/>
                      <w:lang w:val="en-US"/>
                    </w:rPr>
                    <w:t>Free</w:t>
                  </w:r>
                  <w:r w:rsidR="00DF20A6">
                    <w:rPr>
                      <w:rFonts w:ascii="Arial" w:hAnsi="Arial"/>
                      <w:sz w:val="16"/>
                      <w:lang w:val="en-US"/>
                    </w:rPr>
                    <w:t xml:space="preserve"> and open</w:t>
                  </w:r>
                </w:p>
              </w:tc>
              <w:tc>
                <w:tcPr>
                  <w:tcW w:w="0" w:type="pct"/>
                </w:tcPr>
                <w:p w14:paraId="1C747152" w14:textId="25D5036A" w:rsidR="00713DFD" w:rsidRPr="006E509E" w:rsidRDefault="00AE3D92" w:rsidP="003B3BD7">
                  <w:pPr>
                    <w:tabs>
                      <w:tab w:val="left" w:pos="2126"/>
                    </w:tabs>
                    <w:spacing w:before="80" w:after="80"/>
                    <w:cnfStyle w:val="000000100000" w:firstRow="0" w:lastRow="0" w:firstColumn="0" w:lastColumn="0" w:oddVBand="0" w:evenVBand="0" w:oddHBand="1" w:evenHBand="0" w:firstRowFirstColumn="0" w:firstRowLastColumn="0" w:lastRowFirstColumn="0" w:lastRowLastColumn="0"/>
                    <w:rPr>
                      <w:rFonts w:ascii="Arial" w:hAnsi="Arial"/>
                      <w:sz w:val="16"/>
                      <w:lang w:val="en-US"/>
                    </w:rPr>
                  </w:pPr>
                  <w:r w:rsidRPr="00EE5F65">
                    <w:rPr>
                      <w:rFonts w:ascii="Arial" w:hAnsi="Arial"/>
                      <w:sz w:val="16"/>
                      <w:lang w:val="en-US"/>
                    </w:rPr>
                    <w:t>Limited historical data but the long-term continuity is secured under the Copernicus program</w:t>
                  </w:r>
                </w:p>
              </w:tc>
            </w:tr>
            <w:tr w:rsidR="00713DFD" w:rsidRPr="00EE5F65" w14:paraId="629E2F3B" w14:textId="77777777" w:rsidTr="003B3BD7">
              <w:trPr>
                <w:gridAfter w:val="1"/>
                <w:wAfter w:w="2495" w:type="dxa"/>
              </w:trPr>
              <w:tc>
                <w:tcPr>
                  <w:cnfStyle w:val="001000000000" w:firstRow="0" w:lastRow="0" w:firstColumn="1" w:lastColumn="0" w:oddVBand="0" w:evenVBand="0" w:oddHBand="0" w:evenHBand="0" w:firstRowFirstColumn="0" w:firstRowLastColumn="0" w:lastRowFirstColumn="0" w:lastRowLastColumn="0"/>
                  <w:tcW w:w="0" w:type="pct"/>
                </w:tcPr>
                <w:p w14:paraId="499221D8" w14:textId="77777777" w:rsidR="00AE3D92" w:rsidRPr="00EE5F65" w:rsidRDefault="00AE3D92" w:rsidP="003B3BD7">
                  <w:pPr>
                    <w:tabs>
                      <w:tab w:val="left" w:pos="2126"/>
                    </w:tabs>
                    <w:spacing w:before="80" w:after="80"/>
                    <w:jc w:val="center"/>
                    <w:rPr>
                      <w:rFonts w:ascii="Arial" w:hAnsi="Arial"/>
                      <w:sz w:val="16"/>
                      <w:lang w:val="en-US"/>
                    </w:rPr>
                  </w:pPr>
                  <w:r w:rsidRPr="00EE5F65">
                    <w:rPr>
                      <w:rFonts w:ascii="Arial" w:hAnsi="Arial"/>
                      <w:sz w:val="16"/>
                      <w:lang w:val="en-US"/>
                    </w:rPr>
                    <w:t>Landsat</w:t>
                  </w:r>
                </w:p>
              </w:tc>
              <w:tc>
                <w:tcPr>
                  <w:tcW w:w="0" w:type="pct"/>
                </w:tcPr>
                <w:p w14:paraId="06294113" w14:textId="77777777" w:rsidR="00AE3D92" w:rsidRPr="00EE5F65" w:rsidRDefault="00AE3D92" w:rsidP="003B3BD7">
                  <w:pPr>
                    <w:tabs>
                      <w:tab w:val="left" w:pos="2126"/>
                    </w:tabs>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sz w:val="16"/>
                      <w:lang w:val="en-US"/>
                    </w:rPr>
                  </w:pPr>
                  <w:r w:rsidRPr="00EE5F65">
                    <w:rPr>
                      <w:rFonts w:ascii="Arial" w:hAnsi="Arial"/>
                      <w:sz w:val="16"/>
                      <w:lang w:val="en-US"/>
                    </w:rPr>
                    <w:t>Multi-spectral</w:t>
                  </w:r>
                </w:p>
              </w:tc>
              <w:tc>
                <w:tcPr>
                  <w:tcW w:w="0" w:type="pct"/>
                </w:tcPr>
                <w:p w14:paraId="77B23510" w14:textId="77777777" w:rsidR="00AE3D92" w:rsidRPr="00EE5F65" w:rsidRDefault="00AE3D92" w:rsidP="003B3BD7">
                  <w:pPr>
                    <w:tabs>
                      <w:tab w:val="left" w:pos="2126"/>
                    </w:tabs>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sz w:val="16"/>
                      <w:lang w:val="en-US"/>
                    </w:rPr>
                  </w:pPr>
                  <w:r w:rsidRPr="00EE5F65">
                    <w:rPr>
                      <w:rFonts w:ascii="Arial" w:hAnsi="Arial"/>
                      <w:sz w:val="16"/>
                      <w:lang w:val="en-US"/>
                    </w:rPr>
                    <w:t>30 m</w:t>
                  </w:r>
                </w:p>
              </w:tc>
              <w:tc>
                <w:tcPr>
                  <w:tcW w:w="0" w:type="pct"/>
                </w:tcPr>
                <w:p w14:paraId="62A09C63" w14:textId="348BA2E6" w:rsidR="00AE3D92" w:rsidRPr="00EE5F65" w:rsidRDefault="00176C62" w:rsidP="003B3BD7">
                  <w:pPr>
                    <w:tabs>
                      <w:tab w:val="left" w:pos="2126"/>
                    </w:tabs>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sz w:val="16"/>
                      <w:lang w:val="en-US"/>
                    </w:rPr>
                  </w:pPr>
                  <w:r>
                    <w:rPr>
                      <w:rFonts w:ascii="Arial" w:hAnsi="Arial"/>
                      <w:sz w:val="16"/>
                      <w:lang w:val="en-US"/>
                    </w:rPr>
                    <w:t>16 days</w:t>
                  </w:r>
                </w:p>
              </w:tc>
              <w:tc>
                <w:tcPr>
                  <w:tcW w:w="0" w:type="pct"/>
                </w:tcPr>
                <w:p w14:paraId="0AAAABBD" w14:textId="33A8826F" w:rsidR="00AE3D92" w:rsidRPr="00EE5F65" w:rsidRDefault="00AE3D92" w:rsidP="003B3BD7">
                  <w:pPr>
                    <w:tabs>
                      <w:tab w:val="left" w:pos="2126"/>
                    </w:tabs>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sz w:val="16"/>
                      <w:lang w:val="en-US"/>
                    </w:rPr>
                  </w:pPr>
                  <w:r w:rsidRPr="00EE5F65">
                    <w:rPr>
                      <w:rFonts w:ascii="Arial" w:hAnsi="Arial"/>
                      <w:sz w:val="16"/>
                      <w:lang w:val="en-US"/>
                    </w:rPr>
                    <w:t>Since 1984</w:t>
                  </w:r>
                </w:p>
              </w:tc>
              <w:tc>
                <w:tcPr>
                  <w:tcW w:w="0" w:type="pct"/>
                </w:tcPr>
                <w:p w14:paraId="508B2E20" w14:textId="68C6F4BB" w:rsidR="00AE3D92" w:rsidRPr="00EE5F65" w:rsidRDefault="00DF20A6" w:rsidP="003B3BD7">
                  <w:pPr>
                    <w:tabs>
                      <w:tab w:val="left" w:pos="2126"/>
                    </w:tabs>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sz w:val="16"/>
                      <w:lang w:val="en-US"/>
                    </w:rPr>
                  </w:pPr>
                  <w:r w:rsidRPr="00EE5F65">
                    <w:rPr>
                      <w:rFonts w:ascii="Arial" w:hAnsi="Arial"/>
                      <w:sz w:val="16"/>
                      <w:lang w:val="en-US"/>
                    </w:rPr>
                    <w:t>Free</w:t>
                  </w:r>
                  <w:r>
                    <w:rPr>
                      <w:rFonts w:ascii="Arial" w:hAnsi="Arial"/>
                      <w:sz w:val="16"/>
                      <w:lang w:val="en-US"/>
                    </w:rPr>
                    <w:t xml:space="preserve"> and open</w:t>
                  </w:r>
                </w:p>
              </w:tc>
              <w:tc>
                <w:tcPr>
                  <w:tcW w:w="0" w:type="pct"/>
                </w:tcPr>
                <w:p w14:paraId="067571DF" w14:textId="03ED8675" w:rsidR="00176C62" w:rsidRPr="00EE5F65" w:rsidRDefault="00AE3D92" w:rsidP="003B3BD7">
                  <w:pPr>
                    <w:tabs>
                      <w:tab w:val="left" w:pos="2126"/>
                    </w:tabs>
                    <w:spacing w:before="80" w:after="80"/>
                    <w:cnfStyle w:val="000000000000" w:firstRow="0" w:lastRow="0" w:firstColumn="0" w:lastColumn="0" w:oddVBand="0" w:evenVBand="0" w:oddHBand="0" w:evenHBand="0" w:firstRowFirstColumn="0" w:firstRowLastColumn="0" w:lastRowFirstColumn="0" w:lastRowLastColumn="0"/>
                    <w:rPr>
                      <w:rFonts w:ascii="Arial" w:hAnsi="Arial"/>
                      <w:sz w:val="16"/>
                      <w:lang w:val="en-US"/>
                    </w:rPr>
                  </w:pPr>
                  <w:r w:rsidRPr="00EE5F65">
                    <w:rPr>
                      <w:rFonts w:ascii="Arial" w:hAnsi="Arial"/>
                      <w:sz w:val="16"/>
                      <w:lang w:val="en-US"/>
                    </w:rPr>
                    <w:t xml:space="preserve">The 30-meter resolution is a drawback compared to Sentinels but </w:t>
                  </w:r>
                  <w:r w:rsidR="00DF20A6">
                    <w:rPr>
                      <w:rFonts w:ascii="Arial" w:hAnsi="Arial"/>
                      <w:sz w:val="16"/>
                      <w:lang w:val="en-US"/>
                    </w:rPr>
                    <w:t>t</w:t>
                  </w:r>
                  <w:r w:rsidRPr="00EE5F65">
                    <w:rPr>
                      <w:rFonts w:ascii="Arial" w:hAnsi="Arial"/>
                      <w:sz w:val="16"/>
                      <w:lang w:val="en-US"/>
                    </w:rPr>
                    <w:t>he long temporal coverage is invaluable for historic mapping</w:t>
                  </w:r>
                  <w:r w:rsidR="00176C62">
                    <w:rPr>
                      <w:rFonts w:ascii="Arial" w:hAnsi="Arial"/>
                      <w:sz w:val="16"/>
                      <w:lang w:val="en-US"/>
                    </w:rPr>
                    <w:t xml:space="preserve">. </w:t>
                  </w:r>
                </w:p>
              </w:tc>
            </w:tr>
            <w:tr w:rsidR="00231573" w:rsidRPr="00EE5F65" w14:paraId="631C63DB" w14:textId="77777777" w:rsidTr="003B3BD7">
              <w:trPr>
                <w:gridAfter w:val="1"/>
                <w:cnfStyle w:val="000000100000" w:firstRow="0" w:lastRow="0" w:firstColumn="0" w:lastColumn="0" w:oddVBand="0" w:evenVBand="0" w:oddHBand="1" w:evenHBand="0" w:firstRowFirstColumn="0" w:firstRowLastColumn="0" w:lastRowFirstColumn="0" w:lastRowLastColumn="0"/>
                <w:wAfter w:w="2495" w:type="dxa"/>
              </w:trPr>
              <w:tc>
                <w:tcPr>
                  <w:cnfStyle w:val="001000000000" w:firstRow="0" w:lastRow="0" w:firstColumn="1" w:lastColumn="0" w:oddVBand="0" w:evenVBand="0" w:oddHBand="0" w:evenHBand="0" w:firstRowFirstColumn="0" w:firstRowLastColumn="0" w:lastRowFirstColumn="0" w:lastRowLastColumn="0"/>
                  <w:tcW w:w="0" w:type="pct"/>
                </w:tcPr>
                <w:p w14:paraId="11FD2675" w14:textId="583CA46B" w:rsidR="00231573" w:rsidRPr="00EE5F65" w:rsidRDefault="00231573" w:rsidP="003B3BD7">
                  <w:pPr>
                    <w:tabs>
                      <w:tab w:val="left" w:pos="2126"/>
                    </w:tabs>
                    <w:spacing w:before="80" w:after="80"/>
                    <w:jc w:val="center"/>
                    <w:rPr>
                      <w:rFonts w:ascii="Arial" w:hAnsi="Arial"/>
                      <w:sz w:val="16"/>
                      <w:lang w:val="en-US"/>
                    </w:rPr>
                  </w:pPr>
                  <w:r w:rsidRPr="00A16007">
                    <w:rPr>
                      <w:rFonts w:ascii="Arial" w:hAnsi="Arial" w:cs="Arial"/>
                      <w:sz w:val="15"/>
                      <w:szCs w:val="15"/>
                      <w:lang w:val="en-US"/>
                    </w:rPr>
                    <w:t>Sentinel-3 OLCI</w:t>
                  </w:r>
                </w:p>
              </w:tc>
              <w:tc>
                <w:tcPr>
                  <w:tcW w:w="0" w:type="pct"/>
                </w:tcPr>
                <w:p w14:paraId="37B9033D" w14:textId="297C701E" w:rsidR="00231573" w:rsidRPr="00EE5F65" w:rsidRDefault="00231573" w:rsidP="003B3BD7">
                  <w:pPr>
                    <w:tabs>
                      <w:tab w:val="left" w:pos="2126"/>
                    </w:tabs>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sz w:val="16"/>
                      <w:lang w:val="en-US"/>
                    </w:rPr>
                  </w:pPr>
                  <w:proofErr w:type="spellStart"/>
                  <w:r w:rsidRPr="00A16007">
                    <w:rPr>
                      <w:rFonts w:ascii="Arial" w:hAnsi="Arial" w:cs="Arial"/>
                      <w:sz w:val="15"/>
                      <w:szCs w:val="15"/>
                      <w:lang w:val="en-US"/>
                    </w:rPr>
                    <w:t>Colour</w:t>
                  </w:r>
                  <w:proofErr w:type="spellEnd"/>
                  <w:r w:rsidRPr="00A16007">
                    <w:rPr>
                      <w:rFonts w:ascii="Arial" w:hAnsi="Arial" w:cs="Arial"/>
                      <w:sz w:val="15"/>
                      <w:szCs w:val="15"/>
                      <w:lang w:val="en-US"/>
                    </w:rPr>
                    <w:t xml:space="preserve"> instrument</w:t>
                  </w:r>
                </w:p>
              </w:tc>
              <w:tc>
                <w:tcPr>
                  <w:tcW w:w="0" w:type="pct"/>
                </w:tcPr>
                <w:p w14:paraId="4FBDFF7E" w14:textId="25E6012C" w:rsidR="00231573" w:rsidRPr="00EE5F65" w:rsidRDefault="00231573" w:rsidP="003B3BD7">
                  <w:pPr>
                    <w:tabs>
                      <w:tab w:val="left" w:pos="2126"/>
                    </w:tabs>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sz w:val="16"/>
                      <w:lang w:val="en-US"/>
                    </w:rPr>
                  </w:pPr>
                  <w:r w:rsidRPr="00A16007">
                    <w:rPr>
                      <w:rFonts w:ascii="Arial" w:hAnsi="Arial" w:cs="Arial"/>
                      <w:sz w:val="15"/>
                      <w:szCs w:val="15"/>
                      <w:lang w:val="en-US"/>
                    </w:rPr>
                    <w:t>300 m</w:t>
                  </w:r>
                </w:p>
              </w:tc>
              <w:tc>
                <w:tcPr>
                  <w:tcW w:w="0" w:type="pct"/>
                </w:tcPr>
                <w:p w14:paraId="46FF77CA" w14:textId="03C7B966" w:rsidR="00231573" w:rsidRDefault="00231573" w:rsidP="003B3BD7">
                  <w:pPr>
                    <w:tabs>
                      <w:tab w:val="left" w:pos="2126"/>
                    </w:tabs>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sz w:val="16"/>
                      <w:lang w:val="en-US"/>
                    </w:rPr>
                  </w:pPr>
                  <w:r w:rsidRPr="00A16007">
                    <w:rPr>
                      <w:rFonts w:ascii="Arial" w:hAnsi="Arial" w:cs="Arial"/>
                      <w:sz w:val="15"/>
                      <w:szCs w:val="15"/>
                      <w:lang w:val="en-US"/>
                    </w:rPr>
                    <w:t>At least every 2 days globally</w:t>
                  </w:r>
                </w:p>
              </w:tc>
              <w:tc>
                <w:tcPr>
                  <w:tcW w:w="0" w:type="pct"/>
                </w:tcPr>
                <w:p w14:paraId="51A35341" w14:textId="20202B50" w:rsidR="00231573" w:rsidRPr="00EE5F65" w:rsidRDefault="00231573" w:rsidP="003B3BD7">
                  <w:pPr>
                    <w:tabs>
                      <w:tab w:val="left" w:pos="2126"/>
                    </w:tabs>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sz w:val="16"/>
                      <w:lang w:val="en-US"/>
                    </w:rPr>
                  </w:pPr>
                  <w:r w:rsidRPr="00A16007">
                    <w:rPr>
                      <w:rFonts w:ascii="Arial" w:hAnsi="Arial"/>
                      <w:sz w:val="15"/>
                      <w:szCs w:val="15"/>
                      <w:lang w:val="en-US"/>
                    </w:rPr>
                    <w:t>Since 2016</w:t>
                  </w:r>
                </w:p>
              </w:tc>
              <w:tc>
                <w:tcPr>
                  <w:tcW w:w="0" w:type="pct"/>
                </w:tcPr>
                <w:p w14:paraId="01BDBA69" w14:textId="0D2A6AD1" w:rsidR="00231573" w:rsidRPr="00EE5F65" w:rsidRDefault="00231573" w:rsidP="003B3BD7">
                  <w:pPr>
                    <w:tabs>
                      <w:tab w:val="left" w:pos="2126"/>
                    </w:tabs>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sz w:val="16"/>
                      <w:lang w:val="en-US"/>
                    </w:rPr>
                  </w:pPr>
                  <w:r w:rsidRPr="00A16007">
                    <w:rPr>
                      <w:rFonts w:ascii="Arial" w:hAnsi="Arial" w:cs="Arial"/>
                      <w:sz w:val="15"/>
                      <w:szCs w:val="15"/>
                      <w:lang w:val="en-US"/>
                    </w:rPr>
                    <w:t>Free and open</w:t>
                  </w:r>
                </w:p>
              </w:tc>
              <w:tc>
                <w:tcPr>
                  <w:tcW w:w="0" w:type="pct"/>
                </w:tcPr>
                <w:p w14:paraId="2F5083BB" w14:textId="77777777" w:rsidR="00231573" w:rsidRPr="00A16007" w:rsidRDefault="00231573" w:rsidP="003B3BD7">
                  <w:pPr>
                    <w:tabs>
                      <w:tab w:val="left" w:pos="2126"/>
                    </w:tabs>
                    <w:spacing w:before="80" w:after="80"/>
                    <w:cnfStyle w:val="000000100000" w:firstRow="0" w:lastRow="0" w:firstColumn="0" w:lastColumn="0" w:oddVBand="0" w:evenVBand="0" w:oddHBand="1" w:evenHBand="0" w:firstRowFirstColumn="0" w:firstRowLastColumn="0" w:lastRowFirstColumn="0" w:lastRowLastColumn="0"/>
                    <w:rPr>
                      <w:rFonts w:ascii="Arial" w:hAnsi="Arial"/>
                      <w:sz w:val="15"/>
                      <w:szCs w:val="15"/>
                      <w:lang w:val="en-US"/>
                    </w:rPr>
                  </w:pPr>
                  <w:r w:rsidRPr="00A16007">
                    <w:rPr>
                      <w:rFonts w:ascii="Arial" w:hAnsi="Arial"/>
                      <w:sz w:val="15"/>
                      <w:szCs w:val="15"/>
                      <w:lang w:val="en-US"/>
                    </w:rPr>
                    <w:t>OLCI instrument</w:t>
                  </w:r>
                </w:p>
                <w:p w14:paraId="66A500CB" w14:textId="169362F2" w:rsidR="00231573" w:rsidRPr="003B3BD7" w:rsidRDefault="00231573" w:rsidP="003B3BD7">
                  <w:pPr>
                    <w:tabs>
                      <w:tab w:val="left" w:pos="2126"/>
                    </w:tabs>
                    <w:spacing w:before="80" w:after="80"/>
                    <w:cnfStyle w:val="000000100000" w:firstRow="0" w:lastRow="0" w:firstColumn="0" w:lastColumn="0" w:oddVBand="0" w:evenVBand="0" w:oddHBand="1" w:evenHBand="0" w:firstRowFirstColumn="0" w:firstRowLastColumn="0" w:lastRowFirstColumn="0" w:lastRowLastColumn="0"/>
                    <w:rPr>
                      <w:rFonts w:ascii="Arial" w:hAnsi="Arial"/>
                      <w:sz w:val="15"/>
                      <w:szCs w:val="15"/>
                      <w:lang w:val="en-US"/>
                    </w:rPr>
                  </w:pPr>
                  <w:r w:rsidRPr="00A16007">
                    <w:rPr>
                      <w:rFonts w:ascii="Arial" w:hAnsi="Arial"/>
                      <w:sz w:val="15"/>
                      <w:szCs w:val="15"/>
                      <w:lang w:val="en-US"/>
                    </w:rPr>
                    <w:t>Long-term continuity is secured under the Copernicus program</w:t>
                  </w:r>
                </w:p>
              </w:tc>
            </w:tr>
            <w:tr w:rsidR="00231573" w:rsidRPr="00EE5F65" w14:paraId="5E3080FB" w14:textId="77777777" w:rsidTr="003B3BD7">
              <w:trPr>
                <w:gridAfter w:val="1"/>
                <w:wAfter w:w="2495" w:type="dxa"/>
              </w:trPr>
              <w:tc>
                <w:tcPr>
                  <w:cnfStyle w:val="001000000000" w:firstRow="0" w:lastRow="0" w:firstColumn="1" w:lastColumn="0" w:oddVBand="0" w:evenVBand="0" w:oddHBand="0" w:evenHBand="0" w:firstRowFirstColumn="0" w:firstRowLastColumn="0" w:lastRowFirstColumn="0" w:lastRowLastColumn="0"/>
                  <w:tcW w:w="0" w:type="pct"/>
                </w:tcPr>
                <w:p w14:paraId="6F161D79" w14:textId="78D1FEAC" w:rsidR="00231573" w:rsidRPr="00EE5F65" w:rsidRDefault="00231573" w:rsidP="003B3BD7">
                  <w:pPr>
                    <w:tabs>
                      <w:tab w:val="left" w:pos="2126"/>
                    </w:tabs>
                    <w:spacing w:before="80" w:after="80"/>
                    <w:jc w:val="center"/>
                    <w:rPr>
                      <w:rFonts w:ascii="Arial" w:hAnsi="Arial"/>
                      <w:sz w:val="16"/>
                      <w:lang w:val="en-US"/>
                    </w:rPr>
                  </w:pPr>
                  <w:r w:rsidRPr="00A16007">
                    <w:rPr>
                      <w:rFonts w:ascii="Arial" w:hAnsi="Arial" w:cs="Arial"/>
                      <w:sz w:val="15"/>
                      <w:szCs w:val="15"/>
                      <w:lang w:val="en-US"/>
                    </w:rPr>
                    <w:t>MODIS</w:t>
                  </w:r>
                </w:p>
              </w:tc>
              <w:tc>
                <w:tcPr>
                  <w:tcW w:w="0" w:type="pct"/>
                </w:tcPr>
                <w:p w14:paraId="3E75A2EB" w14:textId="2B2411B5" w:rsidR="00231573" w:rsidRPr="00EE5F65" w:rsidRDefault="00231573" w:rsidP="003B3BD7">
                  <w:pPr>
                    <w:tabs>
                      <w:tab w:val="left" w:pos="2126"/>
                    </w:tabs>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sz w:val="16"/>
                      <w:lang w:val="en-US"/>
                    </w:rPr>
                  </w:pPr>
                  <w:r w:rsidRPr="00A16007">
                    <w:rPr>
                      <w:rFonts w:ascii="Arial" w:hAnsi="Arial" w:cs="Arial"/>
                      <w:sz w:val="15"/>
                      <w:szCs w:val="15"/>
                      <w:lang w:val="en-US"/>
                    </w:rPr>
                    <w:t>Multi-spectral</w:t>
                  </w:r>
                </w:p>
              </w:tc>
              <w:tc>
                <w:tcPr>
                  <w:tcW w:w="0" w:type="pct"/>
                </w:tcPr>
                <w:p w14:paraId="41F7E3DE" w14:textId="21C82519" w:rsidR="00231573" w:rsidRPr="00EE5F65" w:rsidRDefault="00231573" w:rsidP="003B3BD7">
                  <w:pPr>
                    <w:tabs>
                      <w:tab w:val="left" w:pos="2126"/>
                    </w:tabs>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sz w:val="16"/>
                      <w:lang w:val="en-US"/>
                    </w:rPr>
                  </w:pPr>
                  <w:r w:rsidRPr="00A16007">
                    <w:rPr>
                      <w:rFonts w:ascii="Arial" w:hAnsi="Arial" w:cs="Arial"/>
                      <w:sz w:val="15"/>
                      <w:szCs w:val="15"/>
                      <w:lang w:val="en-US"/>
                    </w:rPr>
                    <w:t>250m,500m and 1km</w:t>
                  </w:r>
                </w:p>
              </w:tc>
              <w:tc>
                <w:tcPr>
                  <w:tcW w:w="0" w:type="pct"/>
                </w:tcPr>
                <w:p w14:paraId="5DED94F6" w14:textId="1643E97B" w:rsidR="00231573" w:rsidRDefault="00231573" w:rsidP="003B3BD7">
                  <w:pPr>
                    <w:tabs>
                      <w:tab w:val="left" w:pos="2126"/>
                    </w:tabs>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sz w:val="16"/>
                      <w:lang w:val="en-US"/>
                    </w:rPr>
                  </w:pPr>
                  <w:r w:rsidRPr="00A16007">
                    <w:rPr>
                      <w:rFonts w:ascii="Arial" w:hAnsi="Arial" w:cs="Arial"/>
                      <w:sz w:val="15"/>
                      <w:szCs w:val="15"/>
                      <w:lang w:val="en-US"/>
                    </w:rPr>
                    <w:t>At least every 2 days globally</w:t>
                  </w:r>
                </w:p>
              </w:tc>
              <w:tc>
                <w:tcPr>
                  <w:tcW w:w="0" w:type="pct"/>
                </w:tcPr>
                <w:p w14:paraId="7E788EFC" w14:textId="4660CC67" w:rsidR="00231573" w:rsidRPr="00EE5F65" w:rsidRDefault="00231573" w:rsidP="003B3BD7">
                  <w:pPr>
                    <w:tabs>
                      <w:tab w:val="left" w:pos="2126"/>
                    </w:tabs>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sz w:val="16"/>
                      <w:lang w:val="en-US"/>
                    </w:rPr>
                  </w:pPr>
                  <w:r w:rsidRPr="00A16007">
                    <w:rPr>
                      <w:rFonts w:ascii="Arial" w:hAnsi="Arial" w:cs="Arial"/>
                      <w:sz w:val="15"/>
                      <w:szCs w:val="15"/>
                      <w:lang w:val="en-US"/>
                    </w:rPr>
                    <w:t>Since 2002</w:t>
                  </w:r>
                </w:p>
              </w:tc>
              <w:tc>
                <w:tcPr>
                  <w:tcW w:w="0" w:type="pct"/>
                </w:tcPr>
                <w:p w14:paraId="72124FC8" w14:textId="0A8E7884" w:rsidR="00231573" w:rsidRPr="00EE5F65" w:rsidRDefault="00231573" w:rsidP="003B3BD7">
                  <w:pPr>
                    <w:tabs>
                      <w:tab w:val="left" w:pos="2126"/>
                    </w:tabs>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sz w:val="16"/>
                      <w:lang w:val="en-US"/>
                    </w:rPr>
                  </w:pPr>
                  <w:r w:rsidRPr="00A16007">
                    <w:rPr>
                      <w:rFonts w:ascii="Arial" w:hAnsi="Arial" w:cs="Arial"/>
                      <w:sz w:val="15"/>
                      <w:szCs w:val="15"/>
                      <w:lang w:val="en-US"/>
                    </w:rPr>
                    <w:t>Free and open</w:t>
                  </w:r>
                </w:p>
              </w:tc>
              <w:tc>
                <w:tcPr>
                  <w:tcW w:w="0" w:type="pct"/>
                </w:tcPr>
                <w:p w14:paraId="438B9DC6" w14:textId="16B2256A" w:rsidR="00231573" w:rsidRPr="00EE5F65" w:rsidRDefault="00231573" w:rsidP="003B3BD7">
                  <w:pPr>
                    <w:tabs>
                      <w:tab w:val="left" w:pos="2126"/>
                    </w:tabs>
                    <w:spacing w:before="80" w:after="80"/>
                    <w:cnfStyle w:val="000000000000" w:firstRow="0" w:lastRow="0" w:firstColumn="0" w:lastColumn="0" w:oddVBand="0" w:evenVBand="0" w:oddHBand="0" w:evenHBand="0" w:firstRowFirstColumn="0" w:firstRowLastColumn="0" w:lastRowFirstColumn="0" w:lastRowLastColumn="0"/>
                    <w:rPr>
                      <w:rFonts w:ascii="Arial" w:hAnsi="Arial"/>
                      <w:sz w:val="16"/>
                      <w:lang w:val="en-US"/>
                    </w:rPr>
                  </w:pPr>
                  <w:r w:rsidRPr="00A16007">
                    <w:rPr>
                      <w:rFonts w:ascii="Arial" w:hAnsi="Arial"/>
                      <w:sz w:val="15"/>
                      <w:szCs w:val="15"/>
                      <w:lang w:val="en-US"/>
                    </w:rPr>
                    <w:t>Moderate Resolution Imaging Spectroradiometer on-board AQUA and TERRA satellites</w:t>
                  </w:r>
                </w:p>
              </w:tc>
            </w:tr>
            <w:tr w:rsidR="00231573" w:rsidRPr="00EE5F65" w14:paraId="1C388BDB" w14:textId="77777777" w:rsidTr="003B3BD7">
              <w:trPr>
                <w:gridAfter w:val="1"/>
                <w:cnfStyle w:val="000000100000" w:firstRow="0" w:lastRow="0" w:firstColumn="0" w:lastColumn="0" w:oddVBand="0" w:evenVBand="0" w:oddHBand="1" w:evenHBand="0" w:firstRowFirstColumn="0" w:firstRowLastColumn="0" w:lastRowFirstColumn="0" w:lastRowLastColumn="0"/>
                <w:wAfter w:w="2495" w:type="dxa"/>
              </w:trPr>
              <w:tc>
                <w:tcPr>
                  <w:cnfStyle w:val="001000000000" w:firstRow="0" w:lastRow="0" w:firstColumn="1" w:lastColumn="0" w:oddVBand="0" w:evenVBand="0" w:oddHBand="0" w:evenHBand="0" w:firstRowFirstColumn="0" w:firstRowLastColumn="0" w:lastRowFirstColumn="0" w:lastRowLastColumn="0"/>
                  <w:tcW w:w="0" w:type="pct"/>
                </w:tcPr>
                <w:p w14:paraId="7A4F6F4C" w14:textId="4B521598" w:rsidR="00231573" w:rsidRPr="00EE5F65" w:rsidRDefault="00231573" w:rsidP="003B3BD7">
                  <w:pPr>
                    <w:tabs>
                      <w:tab w:val="left" w:pos="2126"/>
                    </w:tabs>
                    <w:spacing w:before="80" w:after="80"/>
                    <w:jc w:val="center"/>
                    <w:rPr>
                      <w:rFonts w:ascii="Arial" w:hAnsi="Arial"/>
                      <w:sz w:val="16"/>
                      <w:lang w:val="en-US"/>
                    </w:rPr>
                  </w:pPr>
                  <w:r w:rsidRPr="00A16007">
                    <w:rPr>
                      <w:rFonts w:ascii="Arial" w:hAnsi="Arial" w:cs="Arial"/>
                      <w:sz w:val="15"/>
                      <w:szCs w:val="15"/>
                      <w:lang w:val="en-US"/>
                    </w:rPr>
                    <w:t>MERIS</w:t>
                  </w:r>
                </w:p>
              </w:tc>
              <w:tc>
                <w:tcPr>
                  <w:tcW w:w="0" w:type="pct"/>
                </w:tcPr>
                <w:p w14:paraId="546DABCC" w14:textId="27134A01" w:rsidR="00231573" w:rsidRPr="00EE5F65" w:rsidRDefault="00231573" w:rsidP="003B3BD7">
                  <w:pPr>
                    <w:tabs>
                      <w:tab w:val="left" w:pos="2126"/>
                    </w:tabs>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sz w:val="16"/>
                      <w:lang w:val="en-US"/>
                    </w:rPr>
                  </w:pPr>
                  <w:proofErr w:type="spellStart"/>
                  <w:r w:rsidRPr="00A16007">
                    <w:rPr>
                      <w:rFonts w:ascii="Arial" w:hAnsi="Arial" w:cs="Arial"/>
                      <w:sz w:val="15"/>
                      <w:szCs w:val="15"/>
                      <w:lang w:val="en-US"/>
                    </w:rPr>
                    <w:t>Colour</w:t>
                  </w:r>
                  <w:proofErr w:type="spellEnd"/>
                  <w:r w:rsidRPr="00A16007">
                    <w:rPr>
                      <w:rFonts w:ascii="Arial" w:hAnsi="Arial" w:cs="Arial"/>
                      <w:sz w:val="15"/>
                      <w:szCs w:val="15"/>
                      <w:lang w:val="en-US"/>
                    </w:rPr>
                    <w:t xml:space="preserve"> instrument</w:t>
                  </w:r>
                </w:p>
              </w:tc>
              <w:tc>
                <w:tcPr>
                  <w:tcW w:w="0" w:type="pct"/>
                </w:tcPr>
                <w:p w14:paraId="0E648E40" w14:textId="2A0ABD6A" w:rsidR="00231573" w:rsidRPr="00EE5F65" w:rsidRDefault="00231573" w:rsidP="003B3BD7">
                  <w:pPr>
                    <w:tabs>
                      <w:tab w:val="left" w:pos="2126"/>
                    </w:tabs>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sz w:val="16"/>
                      <w:lang w:val="en-US"/>
                    </w:rPr>
                  </w:pPr>
                  <w:r w:rsidRPr="00A16007">
                    <w:rPr>
                      <w:rFonts w:ascii="Arial" w:hAnsi="Arial" w:cs="Arial"/>
                      <w:sz w:val="15"/>
                      <w:szCs w:val="15"/>
                      <w:lang w:val="en-US"/>
                    </w:rPr>
                    <w:t>300m and 1.2km</w:t>
                  </w:r>
                </w:p>
              </w:tc>
              <w:tc>
                <w:tcPr>
                  <w:tcW w:w="0" w:type="pct"/>
                </w:tcPr>
                <w:p w14:paraId="42B1D842" w14:textId="7911560F" w:rsidR="00231573" w:rsidRDefault="00231573" w:rsidP="003B3BD7">
                  <w:pPr>
                    <w:tabs>
                      <w:tab w:val="left" w:pos="2126"/>
                    </w:tabs>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sz w:val="16"/>
                      <w:lang w:val="en-US"/>
                    </w:rPr>
                  </w:pPr>
                  <w:r w:rsidRPr="00A16007">
                    <w:rPr>
                      <w:rFonts w:ascii="Arial" w:hAnsi="Arial" w:cs="Arial"/>
                      <w:sz w:val="15"/>
                      <w:szCs w:val="15"/>
                      <w:lang w:val="en-US"/>
                    </w:rPr>
                    <w:t>At least every 3 days globally</w:t>
                  </w:r>
                </w:p>
              </w:tc>
              <w:tc>
                <w:tcPr>
                  <w:tcW w:w="0" w:type="pct"/>
                </w:tcPr>
                <w:p w14:paraId="3BC23FDB" w14:textId="291F7363" w:rsidR="00231573" w:rsidRPr="00EE5F65" w:rsidRDefault="00231573" w:rsidP="003B3BD7">
                  <w:pPr>
                    <w:tabs>
                      <w:tab w:val="left" w:pos="2126"/>
                    </w:tabs>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sz w:val="16"/>
                      <w:lang w:val="en-US"/>
                    </w:rPr>
                  </w:pPr>
                  <w:r w:rsidRPr="00A16007">
                    <w:rPr>
                      <w:rFonts w:ascii="Arial" w:hAnsi="Arial" w:cs="Arial"/>
                      <w:sz w:val="15"/>
                      <w:szCs w:val="15"/>
                      <w:lang w:val="en-US"/>
                    </w:rPr>
                    <w:t>2002-2011</w:t>
                  </w:r>
                </w:p>
              </w:tc>
              <w:tc>
                <w:tcPr>
                  <w:tcW w:w="0" w:type="pct"/>
                </w:tcPr>
                <w:p w14:paraId="26189345" w14:textId="369A7335" w:rsidR="00231573" w:rsidRPr="00EE5F65" w:rsidRDefault="00231573" w:rsidP="003B3BD7">
                  <w:pPr>
                    <w:tabs>
                      <w:tab w:val="left" w:pos="2126"/>
                    </w:tabs>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sz w:val="16"/>
                      <w:lang w:val="en-US"/>
                    </w:rPr>
                  </w:pPr>
                  <w:r w:rsidRPr="00A16007">
                    <w:rPr>
                      <w:rFonts w:ascii="Arial" w:hAnsi="Arial" w:cs="Arial"/>
                      <w:sz w:val="15"/>
                      <w:szCs w:val="15"/>
                      <w:lang w:val="en-US"/>
                    </w:rPr>
                    <w:t>Free and open</w:t>
                  </w:r>
                </w:p>
              </w:tc>
              <w:tc>
                <w:tcPr>
                  <w:tcW w:w="0" w:type="pct"/>
                </w:tcPr>
                <w:p w14:paraId="17D68853" w14:textId="5E4294B7" w:rsidR="00231573" w:rsidRPr="00EE5F65" w:rsidRDefault="00231573" w:rsidP="003B3BD7">
                  <w:pPr>
                    <w:tabs>
                      <w:tab w:val="left" w:pos="2126"/>
                    </w:tabs>
                    <w:spacing w:before="80" w:after="80"/>
                    <w:cnfStyle w:val="000000100000" w:firstRow="0" w:lastRow="0" w:firstColumn="0" w:lastColumn="0" w:oddVBand="0" w:evenVBand="0" w:oddHBand="1" w:evenHBand="0" w:firstRowFirstColumn="0" w:firstRowLastColumn="0" w:lastRowFirstColumn="0" w:lastRowLastColumn="0"/>
                    <w:rPr>
                      <w:rFonts w:ascii="Arial" w:hAnsi="Arial"/>
                      <w:sz w:val="16"/>
                      <w:lang w:val="en-US"/>
                    </w:rPr>
                  </w:pPr>
                  <w:r w:rsidRPr="00A16007">
                    <w:rPr>
                      <w:rFonts w:ascii="Arial" w:hAnsi="Arial" w:cs="Arial"/>
                      <w:sz w:val="15"/>
                      <w:szCs w:val="15"/>
                      <w:lang w:val="en-US"/>
                    </w:rPr>
                    <w:t>As for Sentinel-3 but discontinued</w:t>
                  </w:r>
                </w:p>
              </w:tc>
            </w:tr>
            <w:tr w:rsidR="00231573" w:rsidRPr="00EE5F65" w14:paraId="687F9F36" w14:textId="77777777" w:rsidTr="003B3BD7">
              <w:trPr>
                <w:gridAfter w:val="1"/>
                <w:wAfter w:w="2495" w:type="dxa"/>
              </w:trPr>
              <w:tc>
                <w:tcPr>
                  <w:cnfStyle w:val="001000000000" w:firstRow="0" w:lastRow="0" w:firstColumn="1" w:lastColumn="0" w:oddVBand="0" w:evenVBand="0" w:oddHBand="0" w:evenHBand="0" w:firstRowFirstColumn="0" w:firstRowLastColumn="0" w:lastRowFirstColumn="0" w:lastRowLastColumn="0"/>
                  <w:tcW w:w="0" w:type="pct"/>
                </w:tcPr>
                <w:p w14:paraId="367A1E13" w14:textId="3B500FDD" w:rsidR="00231573" w:rsidRPr="00EE5F65" w:rsidRDefault="00231573" w:rsidP="003B3BD7">
                  <w:pPr>
                    <w:tabs>
                      <w:tab w:val="left" w:pos="2126"/>
                    </w:tabs>
                    <w:spacing w:before="80" w:after="80"/>
                    <w:jc w:val="center"/>
                    <w:rPr>
                      <w:rFonts w:ascii="Arial" w:hAnsi="Arial"/>
                      <w:sz w:val="16"/>
                      <w:lang w:val="en-US"/>
                    </w:rPr>
                  </w:pPr>
                  <w:r w:rsidRPr="00A16007">
                    <w:rPr>
                      <w:rFonts w:ascii="Arial" w:hAnsi="Arial" w:cs="Arial"/>
                      <w:color w:val="222222"/>
                      <w:sz w:val="15"/>
                      <w:szCs w:val="15"/>
                      <w:shd w:val="clear" w:color="auto" w:fill="FFFFFF"/>
                      <w:lang w:val="en-US"/>
                    </w:rPr>
                    <w:t>VIIRS</w:t>
                  </w:r>
                </w:p>
              </w:tc>
              <w:tc>
                <w:tcPr>
                  <w:tcW w:w="0" w:type="pct"/>
                </w:tcPr>
                <w:p w14:paraId="05E07FB8" w14:textId="097D73E5" w:rsidR="00231573" w:rsidRPr="00EE5F65" w:rsidRDefault="00231573" w:rsidP="003B3BD7">
                  <w:pPr>
                    <w:tabs>
                      <w:tab w:val="left" w:pos="2126"/>
                    </w:tabs>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sz w:val="16"/>
                      <w:lang w:val="en-US"/>
                    </w:rPr>
                  </w:pPr>
                  <w:r w:rsidRPr="00A16007">
                    <w:rPr>
                      <w:rFonts w:ascii="Arial" w:hAnsi="Arial" w:cs="Arial"/>
                      <w:sz w:val="15"/>
                      <w:szCs w:val="15"/>
                      <w:lang w:val="en-US"/>
                    </w:rPr>
                    <w:t>Multi-spectral</w:t>
                  </w:r>
                </w:p>
              </w:tc>
              <w:tc>
                <w:tcPr>
                  <w:tcW w:w="0" w:type="pct"/>
                </w:tcPr>
                <w:p w14:paraId="10906DE5" w14:textId="2CD3CD2B" w:rsidR="00231573" w:rsidRPr="00EE5F65" w:rsidRDefault="00231573" w:rsidP="003B3BD7">
                  <w:pPr>
                    <w:tabs>
                      <w:tab w:val="left" w:pos="2126"/>
                    </w:tabs>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sz w:val="16"/>
                      <w:lang w:val="en-US"/>
                    </w:rPr>
                  </w:pPr>
                  <w:r w:rsidRPr="00A16007">
                    <w:rPr>
                      <w:rFonts w:ascii="Arial" w:hAnsi="Arial" w:cs="Arial"/>
                      <w:color w:val="222222"/>
                      <w:sz w:val="15"/>
                      <w:szCs w:val="15"/>
                      <w:shd w:val="clear" w:color="auto" w:fill="FFFFFF"/>
                      <w:lang w:val="en-US"/>
                    </w:rPr>
                    <w:t>375m, 750m</w:t>
                  </w:r>
                </w:p>
              </w:tc>
              <w:tc>
                <w:tcPr>
                  <w:tcW w:w="0" w:type="pct"/>
                </w:tcPr>
                <w:p w14:paraId="0FD49893" w14:textId="5472AE35" w:rsidR="00231573" w:rsidRDefault="00231573" w:rsidP="003B3BD7">
                  <w:pPr>
                    <w:tabs>
                      <w:tab w:val="left" w:pos="2126"/>
                    </w:tabs>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sz w:val="16"/>
                      <w:lang w:val="en-US"/>
                    </w:rPr>
                  </w:pPr>
                  <w:r w:rsidRPr="00A16007">
                    <w:rPr>
                      <w:rFonts w:ascii="Arial" w:hAnsi="Arial" w:cs="Arial"/>
                      <w:sz w:val="15"/>
                      <w:szCs w:val="15"/>
                      <w:lang w:val="en-US"/>
                    </w:rPr>
                    <w:t>Sub-daily, e.g. 3-4 times per day at mid-latitudes</w:t>
                  </w:r>
                </w:p>
              </w:tc>
              <w:tc>
                <w:tcPr>
                  <w:tcW w:w="0" w:type="pct"/>
                </w:tcPr>
                <w:p w14:paraId="69EE0396" w14:textId="4E91FAF3" w:rsidR="00231573" w:rsidRPr="00EE5F65" w:rsidRDefault="00231573" w:rsidP="003B3BD7">
                  <w:pPr>
                    <w:tabs>
                      <w:tab w:val="left" w:pos="2126"/>
                    </w:tabs>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sz w:val="16"/>
                      <w:lang w:val="en-US"/>
                    </w:rPr>
                  </w:pPr>
                  <w:r w:rsidRPr="00A16007">
                    <w:rPr>
                      <w:rFonts w:ascii="Arial" w:hAnsi="Arial" w:cs="Arial"/>
                      <w:sz w:val="15"/>
                      <w:szCs w:val="15"/>
                      <w:lang w:val="en-US"/>
                    </w:rPr>
                    <w:t>Since 2012</w:t>
                  </w:r>
                </w:p>
              </w:tc>
              <w:tc>
                <w:tcPr>
                  <w:tcW w:w="0" w:type="pct"/>
                </w:tcPr>
                <w:p w14:paraId="6B0C7691" w14:textId="515511FF" w:rsidR="00231573" w:rsidRPr="00EE5F65" w:rsidRDefault="00231573" w:rsidP="003B3BD7">
                  <w:pPr>
                    <w:tabs>
                      <w:tab w:val="left" w:pos="2126"/>
                    </w:tabs>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sz w:val="16"/>
                      <w:lang w:val="en-US"/>
                    </w:rPr>
                  </w:pPr>
                  <w:r w:rsidRPr="00A16007">
                    <w:rPr>
                      <w:rFonts w:ascii="Arial" w:hAnsi="Arial" w:cs="Arial"/>
                      <w:sz w:val="15"/>
                      <w:szCs w:val="15"/>
                      <w:lang w:val="en-US"/>
                    </w:rPr>
                    <w:t>Free and open</w:t>
                  </w:r>
                </w:p>
              </w:tc>
              <w:tc>
                <w:tcPr>
                  <w:tcW w:w="0" w:type="pct"/>
                </w:tcPr>
                <w:p w14:paraId="582D9A27" w14:textId="47A035AF" w:rsidR="00231573" w:rsidRPr="00EE5F65" w:rsidRDefault="00231573" w:rsidP="003B3BD7">
                  <w:pPr>
                    <w:tabs>
                      <w:tab w:val="left" w:pos="2126"/>
                    </w:tabs>
                    <w:spacing w:before="80" w:after="80"/>
                    <w:cnfStyle w:val="000000000000" w:firstRow="0" w:lastRow="0" w:firstColumn="0" w:lastColumn="0" w:oddVBand="0" w:evenVBand="0" w:oddHBand="0" w:evenHBand="0" w:firstRowFirstColumn="0" w:firstRowLastColumn="0" w:lastRowFirstColumn="0" w:lastRowLastColumn="0"/>
                    <w:rPr>
                      <w:rFonts w:ascii="Arial" w:hAnsi="Arial"/>
                      <w:sz w:val="16"/>
                      <w:lang w:val="en-US"/>
                    </w:rPr>
                  </w:pPr>
                  <w:r w:rsidRPr="00A16007">
                    <w:rPr>
                      <w:rFonts w:ascii="Arial" w:hAnsi="Arial" w:cs="Arial"/>
                      <w:sz w:val="15"/>
                      <w:szCs w:val="15"/>
                      <w:lang w:val="en-US"/>
                    </w:rPr>
                    <w:t>Similar to MODIS in terms of specifications and to provide continuity</w:t>
                  </w:r>
                </w:p>
              </w:tc>
            </w:tr>
            <w:tr w:rsidR="00231573" w:rsidRPr="00EE5F65" w14:paraId="1B513531" w14:textId="77777777" w:rsidTr="003B3BD7">
              <w:trPr>
                <w:gridAfter w:val="1"/>
                <w:cnfStyle w:val="000000100000" w:firstRow="0" w:lastRow="0" w:firstColumn="0" w:lastColumn="0" w:oddVBand="0" w:evenVBand="0" w:oddHBand="1" w:evenHBand="0" w:firstRowFirstColumn="0" w:firstRowLastColumn="0" w:lastRowFirstColumn="0" w:lastRowLastColumn="0"/>
                <w:wAfter w:w="2495" w:type="dxa"/>
              </w:trPr>
              <w:tc>
                <w:tcPr>
                  <w:cnfStyle w:val="001000000000" w:firstRow="0" w:lastRow="0" w:firstColumn="1" w:lastColumn="0" w:oddVBand="0" w:evenVBand="0" w:oddHBand="0" w:evenHBand="0" w:firstRowFirstColumn="0" w:firstRowLastColumn="0" w:lastRowFirstColumn="0" w:lastRowLastColumn="0"/>
                  <w:tcW w:w="0" w:type="pct"/>
                </w:tcPr>
                <w:p w14:paraId="68385071" w14:textId="77777777" w:rsidR="00231573" w:rsidRDefault="00231573" w:rsidP="003B3BD7">
                  <w:pPr>
                    <w:tabs>
                      <w:tab w:val="left" w:pos="2126"/>
                    </w:tabs>
                    <w:spacing w:before="80" w:after="80"/>
                    <w:jc w:val="center"/>
                    <w:rPr>
                      <w:rFonts w:ascii="Arial" w:hAnsi="Arial" w:cs="Arial"/>
                      <w:b w:val="0"/>
                      <w:bCs w:val="0"/>
                      <w:sz w:val="15"/>
                      <w:szCs w:val="15"/>
                      <w:lang w:val="en-US"/>
                    </w:rPr>
                  </w:pPr>
                  <w:r>
                    <w:rPr>
                      <w:rFonts w:ascii="Arial" w:hAnsi="Arial" w:cs="Arial"/>
                      <w:sz w:val="15"/>
                      <w:szCs w:val="15"/>
                      <w:lang w:val="en-US"/>
                    </w:rPr>
                    <w:t>SPOT</w:t>
                  </w:r>
                </w:p>
                <w:p w14:paraId="7DAE4445" w14:textId="5372DF08" w:rsidR="00231573" w:rsidRPr="00EE5F65" w:rsidRDefault="00231573" w:rsidP="003B3BD7">
                  <w:pPr>
                    <w:tabs>
                      <w:tab w:val="left" w:pos="2126"/>
                    </w:tabs>
                    <w:spacing w:before="80" w:after="80"/>
                    <w:jc w:val="center"/>
                    <w:rPr>
                      <w:rFonts w:ascii="Arial" w:hAnsi="Arial"/>
                      <w:sz w:val="16"/>
                      <w:lang w:val="en-US"/>
                    </w:rPr>
                  </w:pPr>
                  <w:r w:rsidRPr="00A16007">
                    <w:rPr>
                      <w:rFonts w:ascii="Arial" w:hAnsi="Arial" w:cs="Arial"/>
                      <w:sz w:val="15"/>
                      <w:szCs w:val="15"/>
                      <w:lang w:val="en-US"/>
                    </w:rPr>
                    <w:t>VEGETATION</w:t>
                  </w:r>
                </w:p>
              </w:tc>
              <w:tc>
                <w:tcPr>
                  <w:tcW w:w="0" w:type="pct"/>
                </w:tcPr>
                <w:p w14:paraId="78E329E4" w14:textId="77777777" w:rsidR="00231573" w:rsidRDefault="00231573" w:rsidP="003B3BD7">
                  <w:pPr>
                    <w:tabs>
                      <w:tab w:val="left" w:pos="2126"/>
                    </w:tabs>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lang w:val="en-US"/>
                    </w:rPr>
                  </w:pPr>
                  <w:r>
                    <w:rPr>
                      <w:rFonts w:ascii="Arial" w:hAnsi="Arial" w:cs="Arial"/>
                      <w:sz w:val="15"/>
                      <w:szCs w:val="15"/>
                      <w:lang w:val="en-US"/>
                    </w:rPr>
                    <w:t>4 bands</w:t>
                  </w:r>
                </w:p>
                <w:p w14:paraId="217DFA69" w14:textId="3DCB16ED" w:rsidR="00231573" w:rsidRPr="00EE5F65" w:rsidRDefault="00231573" w:rsidP="003B3BD7">
                  <w:pPr>
                    <w:tabs>
                      <w:tab w:val="left" w:pos="2126"/>
                    </w:tabs>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sz w:val="16"/>
                      <w:lang w:val="en-US"/>
                    </w:rPr>
                  </w:pPr>
                  <w:r>
                    <w:rPr>
                      <w:rFonts w:ascii="Arial" w:hAnsi="Arial" w:cs="Arial"/>
                      <w:sz w:val="15"/>
                      <w:szCs w:val="15"/>
                      <w:lang w:val="en-US"/>
                    </w:rPr>
                    <w:t>(</w:t>
                  </w:r>
                  <w:proofErr w:type="gramStart"/>
                  <w:r>
                    <w:rPr>
                      <w:rFonts w:ascii="Arial" w:hAnsi="Arial" w:cs="Arial"/>
                      <w:sz w:val="15"/>
                      <w:szCs w:val="15"/>
                      <w:lang w:val="en-US"/>
                    </w:rPr>
                    <w:t>B,R</w:t>
                  </w:r>
                  <w:proofErr w:type="gramEnd"/>
                  <w:r>
                    <w:rPr>
                      <w:rFonts w:ascii="Arial" w:hAnsi="Arial" w:cs="Arial"/>
                      <w:sz w:val="15"/>
                      <w:szCs w:val="15"/>
                      <w:lang w:val="en-US"/>
                    </w:rPr>
                    <w:t>,NIR, SWIR)</w:t>
                  </w:r>
                </w:p>
              </w:tc>
              <w:tc>
                <w:tcPr>
                  <w:tcW w:w="0" w:type="pct"/>
                </w:tcPr>
                <w:p w14:paraId="78FC64FC" w14:textId="333B48C2" w:rsidR="00231573" w:rsidRPr="00EE5F65" w:rsidRDefault="00231573" w:rsidP="003B3BD7">
                  <w:pPr>
                    <w:tabs>
                      <w:tab w:val="left" w:pos="2126"/>
                    </w:tabs>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sz w:val="16"/>
                      <w:lang w:val="en-US"/>
                    </w:rPr>
                  </w:pPr>
                  <w:r w:rsidRPr="00A16007">
                    <w:rPr>
                      <w:rFonts w:ascii="Arial" w:hAnsi="Arial" w:cs="Arial"/>
                      <w:sz w:val="15"/>
                      <w:szCs w:val="15"/>
                      <w:lang w:val="en-US"/>
                    </w:rPr>
                    <w:t>1km</w:t>
                  </w:r>
                </w:p>
              </w:tc>
              <w:tc>
                <w:tcPr>
                  <w:tcW w:w="0" w:type="pct"/>
                </w:tcPr>
                <w:p w14:paraId="05BB0565" w14:textId="0462F8F9" w:rsidR="00231573" w:rsidRDefault="00231573" w:rsidP="003B3BD7">
                  <w:pPr>
                    <w:tabs>
                      <w:tab w:val="left" w:pos="2126"/>
                    </w:tabs>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sz w:val="16"/>
                      <w:lang w:val="en-US"/>
                    </w:rPr>
                  </w:pPr>
                  <w:r>
                    <w:rPr>
                      <w:rFonts w:ascii="Arial" w:hAnsi="Arial" w:cs="Arial"/>
                      <w:sz w:val="15"/>
                      <w:szCs w:val="15"/>
                      <w:lang w:val="en-US"/>
                    </w:rPr>
                    <w:t>1 day</w:t>
                  </w:r>
                </w:p>
              </w:tc>
              <w:tc>
                <w:tcPr>
                  <w:tcW w:w="0" w:type="pct"/>
                </w:tcPr>
                <w:p w14:paraId="72CAB241" w14:textId="63F6084D" w:rsidR="00231573" w:rsidRPr="00EE5F65" w:rsidRDefault="00231573" w:rsidP="003B3BD7">
                  <w:pPr>
                    <w:tabs>
                      <w:tab w:val="left" w:pos="2126"/>
                    </w:tabs>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sz w:val="16"/>
                      <w:lang w:val="en-US"/>
                    </w:rPr>
                  </w:pPr>
                  <w:r>
                    <w:rPr>
                      <w:rFonts w:ascii="Arial" w:hAnsi="Arial" w:cs="Arial"/>
                      <w:sz w:val="15"/>
                      <w:szCs w:val="15"/>
                      <w:lang w:val="en-US"/>
                    </w:rPr>
                    <w:t>1998-2015</w:t>
                  </w:r>
                </w:p>
              </w:tc>
              <w:tc>
                <w:tcPr>
                  <w:tcW w:w="0" w:type="pct"/>
                </w:tcPr>
                <w:p w14:paraId="65255B27" w14:textId="70A95360" w:rsidR="00231573" w:rsidRPr="00EE5F65" w:rsidRDefault="00231573" w:rsidP="003B3BD7">
                  <w:pPr>
                    <w:tabs>
                      <w:tab w:val="left" w:pos="2126"/>
                    </w:tabs>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sz w:val="16"/>
                      <w:lang w:val="en-US"/>
                    </w:rPr>
                  </w:pPr>
                  <w:r>
                    <w:rPr>
                      <w:rFonts w:ascii="Arial" w:hAnsi="Arial" w:cs="Arial"/>
                      <w:sz w:val="15"/>
                      <w:szCs w:val="15"/>
                      <w:lang w:val="en-US"/>
                    </w:rPr>
                    <w:t xml:space="preserve">Free and Open </w:t>
                  </w:r>
                </w:p>
              </w:tc>
              <w:tc>
                <w:tcPr>
                  <w:tcW w:w="0" w:type="pct"/>
                </w:tcPr>
                <w:p w14:paraId="6526C49A" w14:textId="2AF08F2D" w:rsidR="00231573" w:rsidRPr="00EE5F65" w:rsidRDefault="00231573" w:rsidP="003B3BD7">
                  <w:pPr>
                    <w:tabs>
                      <w:tab w:val="left" w:pos="2126"/>
                    </w:tabs>
                    <w:spacing w:before="80" w:after="80"/>
                    <w:cnfStyle w:val="000000100000" w:firstRow="0" w:lastRow="0" w:firstColumn="0" w:lastColumn="0" w:oddVBand="0" w:evenVBand="0" w:oddHBand="1" w:evenHBand="0" w:firstRowFirstColumn="0" w:firstRowLastColumn="0" w:lastRowFirstColumn="0" w:lastRowLastColumn="0"/>
                    <w:rPr>
                      <w:rFonts w:ascii="Arial" w:hAnsi="Arial"/>
                      <w:sz w:val="16"/>
                      <w:lang w:val="en-US"/>
                    </w:rPr>
                  </w:pPr>
                  <w:r w:rsidRPr="00A16007">
                    <w:rPr>
                      <w:rFonts w:ascii="Arial" w:hAnsi="Arial" w:cs="Arial"/>
                      <w:sz w:val="15"/>
                      <w:szCs w:val="15"/>
                      <w:lang w:val="en-US"/>
                    </w:rPr>
                    <w:t xml:space="preserve">VGT-1 on board SPOT-4 </w:t>
                  </w:r>
                  <w:r>
                    <w:rPr>
                      <w:rFonts w:ascii="Arial" w:hAnsi="Arial" w:cs="Arial"/>
                      <w:sz w:val="15"/>
                      <w:szCs w:val="15"/>
                      <w:lang w:val="en-US"/>
                    </w:rPr>
                    <w:t xml:space="preserve">(1998) </w:t>
                  </w:r>
                  <w:r w:rsidRPr="00A16007">
                    <w:rPr>
                      <w:rFonts w:ascii="Arial" w:hAnsi="Arial" w:cs="Arial"/>
                      <w:sz w:val="15"/>
                      <w:szCs w:val="15"/>
                      <w:lang w:val="en-US"/>
                    </w:rPr>
                    <w:t>and VGT-2 on board SPOT-5</w:t>
                  </w:r>
                  <w:r>
                    <w:rPr>
                      <w:rFonts w:ascii="Arial" w:hAnsi="Arial" w:cs="Arial"/>
                      <w:sz w:val="15"/>
                      <w:szCs w:val="15"/>
                      <w:lang w:val="en-US"/>
                    </w:rPr>
                    <w:t xml:space="preserve"> (2002)</w:t>
                  </w:r>
                </w:p>
              </w:tc>
            </w:tr>
            <w:tr w:rsidR="00231573" w:rsidRPr="00EE5F65" w14:paraId="3072897C" w14:textId="77777777" w:rsidTr="003B3BD7">
              <w:trPr>
                <w:gridAfter w:val="1"/>
                <w:wAfter w:w="2495" w:type="dxa"/>
              </w:trPr>
              <w:tc>
                <w:tcPr>
                  <w:cnfStyle w:val="001000000000" w:firstRow="0" w:lastRow="0" w:firstColumn="1" w:lastColumn="0" w:oddVBand="0" w:evenVBand="0" w:oddHBand="0" w:evenHBand="0" w:firstRowFirstColumn="0" w:firstRowLastColumn="0" w:lastRowFirstColumn="0" w:lastRowLastColumn="0"/>
                  <w:tcW w:w="0" w:type="pct"/>
                </w:tcPr>
                <w:p w14:paraId="4C701979" w14:textId="69B16A37" w:rsidR="00231573" w:rsidRPr="00EE5F65" w:rsidRDefault="00231573" w:rsidP="003B3BD7">
                  <w:pPr>
                    <w:tabs>
                      <w:tab w:val="left" w:pos="2126"/>
                    </w:tabs>
                    <w:spacing w:before="80" w:after="80"/>
                    <w:jc w:val="center"/>
                    <w:rPr>
                      <w:rFonts w:ascii="Arial" w:hAnsi="Arial"/>
                      <w:sz w:val="16"/>
                      <w:lang w:val="en-US"/>
                    </w:rPr>
                  </w:pPr>
                  <w:r>
                    <w:rPr>
                      <w:rFonts w:ascii="Arial" w:hAnsi="Arial" w:cs="Arial"/>
                      <w:sz w:val="15"/>
                      <w:szCs w:val="15"/>
                      <w:lang w:val="en-US"/>
                    </w:rPr>
                    <w:t>PROBA-V</w:t>
                  </w:r>
                </w:p>
              </w:tc>
              <w:tc>
                <w:tcPr>
                  <w:tcW w:w="0" w:type="pct"/>
                </w:tcPr>
                <w:p w14:paraId="5644BB03" w14:textId="77777777" w:rsidR="00231573" w:rsidRDefault="00231573" w:rsidP="003B3BD7">
                  <w:pPr>
                    <w:tabs>
                      <w:tab w:val="left" w:pos="2126"/>
                    </w:tabs>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lang w:val="en-US"/>
                    </w:rPr>
                  </w:pPr>
                  <w:r>
                    <w:rPr>
                      <w:rFonts w:ascii="Arial" w:hAnsi="Arial" w:cs="Arial"/>
                      <w:sz w:val="15"/>
                      <w:szCs w:val="15"/>
                      <w:lang w:val="en-US"/>
                    </w:rPr>
                    <w:t>4 bands</w:t>
                  </w:r>
                </w:p>
                <w:p w14:paraId="038E1675" w14:textId="25C745AC" w:rsidR="00231573" w:rsidRPr="00EE5F65" w:rsidRDefault="00231573" w:rsidP="003B3BD7">
                  <w:pPr>
                    <w:tabs>
                      <w:tab w:val="left" w:pos="2126"/>
                    </w:tabs>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sz w:val="16"/>
                      <w:lang w:val="en-US"/>
                    </w:rPr>
                  </w:pPr>
                  <w:r>
                    <w:rPr>
                      <w:rFonts w:ascii="Arial" w:hAnsi="Arial" w:cs="Arial"/>
                      <w:sz w:val="15"/>
                      <w:szCs w:val="15"/>
                      <w:lang w:val="en-US"/>
                    </w:rPr>
                    <w:t>(</w:t>
                  </w:r>
                  <w:proofErr w:type="gramStart"/>
                  <w:r>
                    <w:rPr>
                      <w:rFonts w:ascii="Arial" w:hAnsi="Arial" w:cs="Arial"/>
                      <w:sz w:val="15"/>
                      <w:szCs w:val="15"/>
                      <w:lang w:val="en-US"/>
                    </w:rPr>
                    <w:t>B,R</w:t>
                  </w:r>
                  <w:proofErr w:type="gramEnd"/>
                  <w:r>
                    <w:rPr>
                      <w:rFonts w:ascii="Arial" w:hAnsi="Arial" w:cs="Arial"/>
                      <w:sz w:val="15"/>
                      <w:szCs w:val="15"/>
                      <w:lang w:val="en-US"/>
                    </w:rPr>
                    <w:t>,NIR,SWIR)</w:t>
                  </w:r>
                </w:p>
              </w:tc>
              <w:tc>
                <w:tcPr>
                  <w:tcW w:w="0" w:type="pct"/>
                </w:tcPr>
                <w:p w14:paraId="7D003A0D" w14:textId="68C89A51" w:rsidR="00231573" w:rsidRPr="00EE5F65" w:rsidRDefault="00231573" w:rsidP="003B3BD7">
                  <w:pPr>
                    <w:tabs>
                      <w:tab w:val="left" w:pos="2126"/>
                    </w:tabs>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sz w:val="16"/>
                      <w:lang w:val="en-US"/>
                    </w:rPr>
                  </w:pPr>
                  <w:r>
                    <w:rPr>
                      <w:rFonts w:ascii="Arial" w:hAnsi="Arial" w:cs="Arial"/>
                      <w:sz w:val="15"/>
                      <w:szCs w:val="15"/>
                      <w:lang w:val="en-US"/>
                    </w:rPr>
                    <w:t>300m and 1km</w:t>
                  </w:r>
                </w:p>
              </w:tc>
              <w:tc>
                <w:tcPr>
                  <w:tcW w:w="0" w:type="pct"/>
                </w:tcPr>
                <w:p w14:paraId="0CC003BB" w14:textId="72D51686" w:rsidR="00231573" w:rsidRDefault="00231573" w:rsidP="003B3BD7">
                  <w:pPr>
                    <w:tabs>
                      <w:tab w:val="left" w:pos="2126"/>
                    </w:tabs>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sz w:val="16"/>
                      <w:lang w:val="en-US"/>
                    </w:rPr>
                  </w:pPr>
                  <w:r>
                    <w:rPr>
                      <w:rFonts w:ascii="Arial" w:hAnsi="Arial" w:cs="Arial"/>
                      <w:sz w:val="15"/>
                      <w:szCs w:val="15"/>
                      <w:lang w:val="en-US"/>
                    </w:rPr>
                    <w:t>1 day</w:t>
                  </w:r>
                </w:p>
              </w:tc>
              <w:tc>
                <w:tcPr>
                  <w:tcW w:w="0" w:type="pct"/>
                </w:tcPr>
                <w:p w14:paraId="3D5BCBEA" w14:textId="73CE119B" w:rsidR="00231573" w:rsidRPr="00EE5F65" w:rsidRDefault="00231573" w:rsidP="003B3BD7">
                  <w:pPr>
                    <w:tabs>
                      <w:tab w:val="left" w:pos="2126"/>
                    </w:tabs>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sz w:val="16"/>
                      <w:lang w:val="en-US"/>
                    </w:rPr>
                  </w:pPr>
                  <w:r>
                    <w:rPr>
                      <w:rFonts w:ascii="Arial" w:hAnsi="Arial" w:cs="Arial"/>
                      <w:sz w:val="15"/>
                      <w:szCs w:val="15"/>
                      <w:lang w:val="en-US"/>
                    </w:rPr>
                    <w:t>Since 2013</w:t>
                  </w:r>
                </w:p>
              </w:tc>
              <w:tc>
                <w:tcPr>
                  <w:tcW w:w="0" w:type="pct"/>
                </w:tcPr>
                <w:p w14:paraId="05AAA594" w14:textId="43865C1F" w:rsidR="00231573" w:rsidRPr="00EE5F65" w:rsidRDefault="00231573" w:rsidP="003B3BD7">
                  <w:pPr>
                    <w:tabs>
                      <w:tab w:val="left" w:pos="2126"/>
                    </w:tabs>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sz w:val="16"/>
                      <w:lang w:val="en-US"/>
                    </w:rPr>
                  </w:pPr>
                  <w:r>
                    <w:rPr>
                      <w:rFonts w:ascii="Arial" w:hAnsi="Arial" w:cs="Arial"/>
                      <w:sz w:val="15"/>
                      <w:szCs w:val="15"/>
                      <w:lang w:val="en-US"/>
                    </w:rPr>
                    <w:t>Free and Open</w:t>
                  </w:r>
                </w:p>
              </w:tc>
              <w:tc>
                <w:tcPr>
                  <w:tcW w:w="0" w:type="pct"/>
                </w:tcPr>
                <w:p w14:paraId="7E9EE2DF" w14:textId="5730BF77" w:rsidR="00231573" w:rsidRPr="00EE5F65" w:rsidRDefault="00231573" w:rsidP="003B3BD7">
                  <w:pPr>
                    <w:tabs>
                      <w:tab w:val="left" w:pos="2126"/>
                    </w:tabs>
                    <w:spacing w:before="80" w:after="80"/>
                    <w:cnfStyle w:val="000000000000" w:firstRow="0" w:lastRow="0" w:firstColumn="0" w:lastColumn="0" w:oddVBand="0" w:evenVBand="0" w:oddHBand="0" w:evenHBand="0" w:firstRowFirstColumn="0" w:firstRowLastColumn="0" w:lastRowFirstColumn="0" w:lastRowLastColumn="0"/>
                    <w:rPr>
                      <w:rFonts w:ascii="Arial" w:hAnsi="Arial"/>
                      <w:sz w:val="16"/>
                      <w:lang w:val="en-US"/>
                    </w:rPr>
                  </w:pPr>
                  <w:r>
                    <w:rPr>
                      <w:rFonts w:ascii="Arial" w:hAnsi="Arial" w:cs="Arial"/>
                      <w:sz w:val="15"/>
                      <w:szCs w:val="15"/>
                      <w:lang w:val="en-US"/>
                    </w:rPr>
                    <w:t>Continuity of SPOT Vegetation</w:t>
                  </w:r>
                </w:p>
              </w:tc>
            </w:tr>
            <w:tr w:rsidR="00231573" w:rsidRPr="00EE5F65" w14:paraId="033D22AE" w14:textId="76423EF5" w:rsidTr="003B3BD7">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0" w:type="pct"/>
                </w:tcPr>
                <w:p w14:paraId="55320C13" w14:textId="1DDA646F" w:rsidR="00231573" w:rsidRPr="00EE5F65" w:rsidRDefault="00231573" w:rsidP="003B3BD7">
                  <w:pPr>
                    <w:tabs>
                      <w:tab w:val="left" w:pos="2126"/>
                    </w:tabs>
                    <w:spacing w:before="80" w:after="80"/>
                    <w:jc w:val="center"/>
                    <w:rPr>
                      <w:rFonts w:ascii="Arial" w:hAnsi="Arial"/>
                      <w:sz w:val="16"/>
                      <w:lang w:val="en-US"/>
                    </w:rPr>
                  </w:pPr>
                  <w:r w:rsidRPr="00612591">
                    <w:rPr>
                      <w:rFonts w:ascii="Arial" w:hAnsi="Arial"/>
                      <w:sz w:val="16"/>
                      <w:lang w:val="en-US"/>
                    </w:rPr>
                    <w:t>Commercial</w:t>
                  </w:r>
                </w:p>
              </w:tc>
              <w:tc>
                <w:tcPr>
                  <w:tcW w:w="0" w:type="pct"/>
                </w:tcPr>
                <w:p w14:paraId="7C06273D" w14:textId="50F1336C" w:rsidR="00231573" w:rsidRPr="00EE5F65" w:rsidRDefault="00231573" w:rsidP="003B3BD7">
                  <w:pPr>
                    <w:tabs>
                      <w:tab w:val="left" w:pos="2126"/>
                    </w:tabs>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sz w:val="16"/>
                      <w:lang w:val="en-US"/>
                    </w:rPr>
                  </w:pPr>
                  <w:r w:rsidRPr="00612591">
                    <w:rPr>
                      <w:rFonts w:ascii="Arial" w:hAnsi="Arial"/>
                      <w:sz w:val="16"/>
                      <w:lang w:val="en-US"/>
                    </w:rPr>
                    <w:t>SAR and Multi-spectral</w:t>
                  </w:r>
                </w:p>
              </w:tc>
              <w:tc>
                <w:tcPr>
                  <w:tcW w:w="0" w:type="pct"/>
                </w:tcPr>
                <w:p w14:paraId="131C5669" w14:textId="6CD40BED" w:rsidR="00231573" w:rsidRPr="00EE5F65" w:rsidRDefault="00231573" w:rsidP="003B3BD7">
                  <w:pPr>
                    <w:tabs>
                      <w:tab w:val="left" w:pos="2126"/>
                    </w:tabs>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sz w:val="16"/>
                      <w:lang w:val="en-US"/>
                    </w:rPr>
                  </w:pPr>
                  <w:r w:rsidRPr="00612591">
                    <w:rPr>
                      <w:rFonts w:ascii="Arial" w:hAnsi="Arial"/>
                      <w:sz w:val="16"/>
                      <w:lang w:val="en-US"/>
                    </w:rPr>
                    <w:t>0,5 to 2.5 meters</w:t>
                  </w:r>
                </w:p>
              </w:tc>
              <w:tc>
                <w:tcPr>
                  <w:tcW w:w="0" w:type="pct"/>
                </w:tcPr>
                <w:p w14:paraId="412BA860" w14:textId="79E4A38D" w:rsidR="00231573" w:rsidRPr="00EE5F65" w:rsidRDefault="00231573" w:rsidP="003B3BD7">
                  <w:pPr>
                    <w:tabs>
                      <w:tab w:val="left" w:pos="2126"/>
                    </w:tabs>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sz w:val="16"/>
                      <w:lang w:val="en-US"/>
                    </w:rPr>
                  </w:pPr>
                  <w:r>
                    <w:rPr>
                      <w:rFonts w:ascii="Arial" w:hAnsi="Arial"/>
                      <w:sz w:val="16"/>
                      <w:lang w:val="en-US"/>
                    </w:rPr>
                    <w:t>n/a</w:t>
                  </w:r>
                </w:p>
              </w:tc>
              <w:tc>
                <w:tcPr>
                  <w:tcW w:w="0" w:type="pct"/>
                </w:tcPr>
                <w:p w14:paraId="42E7477D" w14:textId="43D90E72" w:rsidR="00231573" w:rsidRPr="00EE5F65" w:rsidRDefault="00231573" w:rsidP="003B3BD7">
                  <w:pPr>
                    <w:tabs>
                      <w:tab w:val="left" w:pos="2126"/>
                    </w:tabs>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sz w:val="16"/>
                      <w:lang w:val="en-US"/>
                    </w:rPr>
                  </w:pPr>
                  <w:r w:rsidRPr="00612591">
                    <w:rPr>
                      <w:rFonts w:ascii="Arial" w:hAnsi="Arial"/>
                      <w:sz w:val="16"/>
                      <w:lang w:val="en-US"/>
                    </w:rPr>
                    <w:t>Since ~2000</w:t>
                  </w:r>
                </w:p>
              </w:tc>
              <w:tc>
                <w:tcPr>
                  <w:tcW w:w="0" w:type="pct"/>
                </w:tcPr>
                <w:p w14:paraId="3DAE4D5E" w14:textId="790BF690" w:rsidR="00231573" w:rsidRPr="00EE5F65" w:rsidRDefault="00231573" w:rsidP="003B3BD7">
                  <w:pPr>
                    <w:tabs>
                      <w:tab w:val="left" w:pos="2126"/>
                    </w:tabs>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sz w:val="16"/>
                      <w:lang w:val="en-US"/>
                    </w:rPr>
                  </w:pPr>
                  <w:r w:rsidRPr="00612591">
                    <w:rPr>
                      <w:rFonts w:ascii="Arial" w:hAnsi="Arial"/>
                      <w:sz w:val="16"/>
                      <w:lang w:val="en-US"/>
                    </w:rPr>
                    <w:t xml:space="preserve">From 2.5 to 20 </w:t>
                  </w:r>
                  <w:r w:rsidRPr="00612591">
                    <w:rPr>
                      <w:rFonts w:ascii="Arial" w:hAnsi="Arial" w:cs="Arial"/>
                      <w:sz w:val="16"/>
                      <w:lang w:val="en-US"/>
                    </w:rPr>
                    <w:t>€</w:t>
                  </w:r>
                  <w:r w:rsidRPr="00612591">
                    <w:rPr>
                      <w:rFonts w:ascii="Arial" w:hAnsi="Arial"/>
                      <w:sz w:val="16"/>
                      <w:lang w:val="en-US"/>
                    </w:rPr>
                    <w:t>/km</w:t>
                  </w:r>
                  <w:r w:rsidRPr="00612591">
                    <w:rPr>
                      <w:rFonts w:ascii="Arial" w:hAnsi="Arial"/>
                      <w:sz w:val="16"/>
                      <w:vertAlign w:val="superscript"/>
                      <w:lang w:val="en-US"/>
                    </w:rPr>
                    <w:t>2</w:t>
                  </w:r>
                </w:p>
              </w:tc>
              <w:tc>
                <w:tcPr>
                  <w:tcW w:w="0" w:type="pct"/>
                </w:tcPr>
                <w:p w14:paraId="62DAE983" w14:textId="5AFEF9A2" w:rsidR="00231573" w:rsidRPr="00EE5F65" w:rsidRDefault="00231573" w:rsidP="003B3BD7">
                  <w:pPr>
                    <w:tabs>
                      <w:tab w:val="left" w:pos="2126"/>
                    </w:tabs>
                    <w:spacing w:before="80" w:after="80"/>
                    <w:cnfStyle w:val="000000100000" w:firstRow="0" w:lastRow="0" w:firstColumn="0" w:lastColumn="0" w:oddVBand="0" w:evenVBand="0" w:oddHBand="1" w:evenHBand="0" w:firstRowFirstColumn="0" w:firstRowLastColumn="0" w:lastRowFirstColumn="0" w:lastRowLastColumn="0"/>
                    <w:rPr>
                      <w:rFonts w:ascii="Arial" w:hAnsi="Arial"/>
                      <w:sz w:val="16"/>
                      <w:lang w:val="en-US"/>
                    </w:rPr>
                  </w:pPr>
                  <w:r w:rsidRPr="00612591">
                    <w:rPr>
                      <w:rFonts w:ascii="Arial" w:hAnsi="Arial"/>
                      <w:sz w:val="16"/>
                      <w:lang w:val="en-US"/>
                    </w:rPr>
                    <w:t xml:space="preserve">Provides the highest level of detail but at </w:t>
                  </w:r>
                  <w:r w:rsidRPr="00612591">
                    <w:rPr>
                      <w:rFonts w:ascii="Arial" w:hAnsi="Arial"/>
                      <w:sz w:val="16"/>
                      <w:lang w:val="en-US"/>
                    </w:rPr>
                    <w:lastRenderedPageBreak/>
                    <w:t>expense of cost</w:t>
                  </w:r>
                </w:p>
              </w:tc>
              <w:tc>
                <w:tcPr>
                  <w:tcW w:w="0" w:type="pct"/>
                </w:tcPr>
                <w:p w14:paraId="66762E12" w14:textId="02BB977E" w:rsidR="00231573" w:rsidRPr="006E509E" w:rsidRDefault="00231573" w:rsidP="00231573">
                  <w:pPr>
                    <w:cnfStyle w:val="000000100000" w:firstRow="0" w:lastRow="0" w:firstColumn="0" w:lastColumn="0" w:oddVBand="0" w:evenVBand="0" w:oddHBand="1" w:evenHBand="0" w:firstRowFirstColumn="0" w:firstRowLastColumn="0" w:lastRowFirstColumn="0" w:lastRowLastColumn="0"/>
                    <w:rPr>
                      <w:lang w:val="en-US"/>
                    </w:rPr>
                  </w:pPr>
                  <w:r w:rsidRPr="00612591">
                    <w:rPr>
                      <w:rFonts w:ascii="Arial" w:hAnsi="Arial"/>
                      <w:sz w:val="16"/>
                      <w:lang w:val="en-US"/>
                    </w:rPr>
                    <w:lastRenderedPageBreak/>
                    <w:t xml:space="preserve">Commercial </w:t>
                  </w:r>
                </w:p>
              </w:tc>
            </w:tr>
          </w:tbl>
          <w:p w14:paraId="141D4765" w14:textId="77777777" w:rsidR="00E11C0C" w:rsidRDefault="00E11C0C" w:rsidP="00E11C0C">
            <w:pPr>
              <w:tabs>
                <w:tab w:val="left" w:pos="2126"/>
              </w:tabs>
              <w:spacing w:beforeLines="60" w:before="144" w:afterLines="60" w:after="144" w:line="240" w:lineRule="atLeast"/>
              <w:rPr>
                <w:rFonts w:ascii="Arial" w:hAnsi="Arial" w:cs="Arial"/>
                <w:sz w:val="18"/>
                <w:szCs w:val="18"/>
                <w:lang w:val="en-US"/>
              </w:rPr>
            </w:pPr>
            <w:r>
              <w:rPr>
                <w:rFonts w:ascii="Arial" w:hAnsi="Arial" w:cs="Arial"/>
                <w:sz w:val="18"/>
                <w:szCs w:val="18"/>
                <w:lang w:val="en-US"/>
              </w:rPr>
              <w:t>Sentinel data can be accessed through the Data and Information Access Services (DIAS) or the Conventional Data Hubs (</w:t>
            </w:r>
            <w:hyperlink r:id="rId15" w:history="1">
              <w:r>
                <w:rPr>
                  <w:rStyle w:val="Hyperlink"/>
                  <w:rFonts w:ascii="Arial" w:hAnsi="Arial" w:cs="Arial"/>
                  <w:sz w:val="18"/>
                  <w:szCs w:val="18"/>
                  <w:lang w:val="en-US"/>
                </w:rPr>
                <w:t>https://www.copernicus.eu/en/access-data</w:t>
              </w:r>
            </w:hyperlink>
            <w:r>
              <w:rPr>
                <w:rFonts w:ascii="Arial" w:hAnsi="Arial" w:cs="Arial"/>
                <w:sz w:val="18"/>
                <w:szCs w:val="18"/>
                <w:lang w:val="en-US"/>
              </w:rPr>
              <w:t xml:space="preserve">) while Landsat data is available via the </w:t>
            </w:r>
            <w:proofErr w:type="spellStart"/>
            <w:r>
              <w:rPr>
                <w:rFonts w:ascii="Arial" w:hAnsi="Arial" w:cs="Arial"/>
                <w:sz w:val="18"/>
                <w:szCs w:val="18"/>
                <w:lang w:val="en-US"/>
              </w:rPr>
              <w:t>EarthExplorer</w:t>
            </w:r>
            <w:proofErr w:type="spellEnd"/>
            <w:r>
              <w:rPr>
                <w:rFonts w:ascii="Arial" w:hAnsi="Arial" w:cs="Arial"/>
                <w:sz w:val="18"/>
                <w:szCs w:val="18"/>
                <w:lang w:val="en-US"/>
              </w:rPr>
              <w:t xml:space="preserve"> (</w:t>
            </w:r>
            <w:hyperlink r:id="rId16" w:history="1">
              <w:r>
                <w:rPr>
                  <w:rStyle w:val="Hyperlink"/>
                  <w:rFonts w:ascii="Arial" w:hAnsi="Arial" w:cs="Arial"/>
                  <w:sz w:val="18"/>
                  <w:szCs w:val="18"/>
                  <w:lang w:val="en-US"/>
                </w:rPr>
                <w:t>https://earthexplorer.usgs.gov/</w:t>
              </w:r>
            </w:hyperlink>
            <w:r>
              <w:rPr>
                <w:rFonts w:ascii="Arial" w:hAnsi="Arial" w:cs="Arial"/>
                <w:sz w:val="18"/>
                <w:szCs w:val="18"/>
                <w:lang w:val="en-US"/>
              </w:rPr>
              <w:t xml:space="preserve"> ). Commercial satellite data can be purchased through data providers and their reseller network.</w:t>
            </w:r>
          </w:p>
          <w:p w14:paraId="6A592734" w14:textId="77777777" w:rsidR="00231573" w:rsidRDefault="00231573" w:rsidP="00E87642">
            <w:pPr>
              <w:tabs>
                <w:tab w:val="left" w:pos="2126"/>
              </w:tabs>
              <w:spacing w:before="120" w:after="80" w:line="240" w:lineRule="atLeast"/>
              <w:rPr>
                <w:rFonts w:ascii="Arial" w:hAnsi="Arial"/>
                <w:b/>
                <w:bCs/>
                <w:sz w:val="18"/>
                <w:lang w:val="en-GB"/>
              </w:rPr>
            </w:pPr>
          </w:p>
          <w:p w14:paraId="6EF181E0" w14:textId="77777777" w:rsidR="00231573" w:rsidRDefault="00231573" w:rsidP="00E87642">
            <w:pPr>
              <w:tabs>
                <w:tab w:val="left" w:pos="2126"/>
              </w:tabs>
              <w:spacing w:before="120" w:after="80" w:line="240" w:lineRule="atLeast"/>
              <w:rPr>
                <w:rFonts w:ascii="Arial" w:hAnsi="Arial"/>
                <w:b/>
                <w:bCs/>
                <w:sz w:val="18"/>
                <w:lang w:val="en-GB"/>
              </w:rPr>
            </w:pPr>
          </w:p>
          <w:p w14:paraId="089A961B" w14:textId="77777777" w:rsidR="00231573" w:rsidRDefault="00231573" w:rsidP="00E87642">
            <w:pPr>
              <w:tabs>
                <w:tab w:val="left" w:pos="2126"/>
              </w:tabs>
              <w:spacing w:before="120" w:after="80" w:line="240" w:lineRule="atLeast"/>
              <w:rPr>
                <w:rFonts w:ascii="Arial" w:hAnsi="Arial"/>
                <w:b/>
                <w:bCs/>
                <w:sz w:val="18"/>
                <w:lang w:val="en-GB"/>
              </w:rPr>
            </w:pPr>
          </w:p>
          <w:p w14:paraId="6ED15B3F" w14:textId="42105BB2" w:rsidR="005411D9" w:rsidRPr="00EE5F65" w:rsidRDefault="005411D9" w:rsidP="00E87642">
            <w:pPr>
              <w:tabs>
                <w:tab w:val="left" w:pos="2126"/>
              </w:tabs>
              <w:spacing w:before="120" w:after="80" w:line="240" w:lineRule="atLeast"/>
              <w:rPr>
                <w:rFonts w:ascii="Arial" w:hAnsi="Arial"/>
                <w:b/>
                <w:bCs/>
                <w:sz w:val="18"/>
                <w:lang w:val="en-GB"/>
              </w:rPr>
            </w:pPr>
            <w:r w:rsidRPr="00EE5F65">
              <w:rPr>
                <w:rFonts w:ascii="Arial" w:hAnsi="Arial"/>
                <w:b/>
                <w:bCs/>
                <w:sz w:val="18"/>
                <w:lang w:val="en-GB"/>
              </w:rPr>
              <w:t>EO-based global datasets</w:t>
            </w:r>
          </w:p>
          <w:p w14:paraId="30C9DBB0" w14:textId="08B0E95D" w:rsidR="005411D9" w:rsidRPr="00EE5F65" w:rsidRDefault="005411D9" w:rsidP="00E87642">
            <w:pPr>
              <w:tabs>
                <w:tab w:val="left" w:pos="2126"/>
              </w:tabs>
              <w:spacing w:before="120" w:after="80" w:line="240" w:lineRule="atLeast"/>
              <w:rPr>
                <w:rFonts w:ascii="Arial" w:hAnsi="Arial"/>
                <w:i/>
                <w:iCs/>
                <w:sz w:val="18"/>
                <w:lang w:val="en-GB"/>
              </w:rPr>
            </w:pPr>
            <w:r w:rsidRPr="00EE5F65">
              <w:rPr>
                <w:rFonts w:ascii="Arial" w:hAnsi="Arial"/>
                <w:i/>
                <w:iCs/>
                <w:sz w:val="18"/>
                <w:lang w:val="en-GB"/>
              </w:rPr>
              <w:t>Land cover datasets:</w:t>
            </w:r>
          </w:p>
          <w:p w14:paraId="2F4C33B8" w14:textId="7F51FCB2" w:rsidR="005411D9" w:rsidRDefault="005411D9" w:rsidP="005411D9">
            <w:pPr>
              <w:pStyle w:val="ListParagraph"/>
              <w:numPr>
                <w:ilvl w:val="0"/>
                <w:numId w:val="22"/>
              </w:numPr>
              <w:tabs>
                <w:tab w:val="left" w:pos="2126"/>
              </w:tabs>
              <w:spacing w:before="120" w:after="80" w:line="240" w:lineRule="atLeast"/>
              <w:rPr>
                <w:rFonts w:ascii="Arial" w:hAnsi="Arial"/>
                <w:sz w:val="18"/>
                <w:lang w:val="en-GB"/>
              </w:rPr>
            </w:pPr>
            <w:r w:rsidRPr="00EE5F65">
              <w:rPr>
                <w:rFonts w:ascii="Arial" w:hAnsi="Arial"/>
                <w:b/>
                <w:bCs/>
                <w:sz w:val="18"/>
                <w:lang w:val="en-GB"/>
              </w:rPr>
              <w:t>ESA Climate Change Initiative Land Cover dataset</w:t>
            </w:r>
            <w:r w:rsidR="00EE5F65" w:rsidRPr="00EE5F65">
              <w:rPr>
                <w:rFonts w:ascii="Arial" w:hAnsi="Arial"/>
                <w:b/>
                <w:bCs/>
                <w:sz w:val="18"/>
                <w:lang w:val="en-GB"/>
              </w:rPr>
              <w:t>:</w:t>
            </w:r>
            <w:r w:rsidR="00EE5F65" w:rsidRPr="00EE5F65">
              <w:rPr>
                <w:rFonts w:ascii="Arial" w:hAnsi="Arial"/>
                <w:sz w:val="18"/>
                <w:lang w:val="en-GB"/>
              </w:rPr>
              <w:t xml:space="preserve"> </w:t>
            </w:r>
            <w:r w:rsidR="00923E6C">
              <w:rPr>
                <w:rFonts w:ascii="Arial" w:hAnsi="Arial"/>
                <w:sz w:val="18"/>
                <w:lang w:val="en-GB"/>
              </w:rPr>
              <w:t>Annual</w:t>
            </w:r>
            <w:r w:rsidR="00923E6C" w:rsidRPr="00EE5F65">
              <w:rPr>
                <w:rFonts w:ascii="Arial" w:hAnsi="Arial"/>
                <w:sz w:val="18"/>
                <w:lang w:val="en-GB"/>
              </w:rPr>
              <w:t xml:space="preserve"> </w:t>
            </w:r>
            <w:r w:rsidR="00EE5F65" w:rsidRPr="00EE5F65">
              <w:rPr>
                <w:rFonts w:ascii="Arial" w:hAnsi="Arial"/>
                <w:sz w:val="18"/>
                <w:lang w:val="en-GB"/>
              </w:rPr>
              <w:t>global land cover maps are available at 300m spatial resolution</w:t>
            </w:r>
            <w:r w:rsidR="00923E6C">
              <w:rPr>
                <w:rFonts w:ascii="Arial" w:hAnsi="Arial"/>
                <w:sz w:val="18"/>
                <w:lang w:val="en-GB"/>
              </w:rPr>
              <w:t xml:space="preserve"> from 1992 to 2015</w:t>
            </w:r>
            <w:r w:rsidR="002D3B8B">
              <w:rPr>
                <w:rFonts w:ascii="Arial" w:hAnsi="Arial"/>
                <w:sz w:val="18"/>
                <w:lang w:val="en-GB"/>
              </w:rPr>
              <w:t xml:space="preserve">. </w:t>
            </w:r>
            <w:r w:rsidR="00EE5F65" w:rsidRPr="00EE5F65">
              <w:rPr>
                <w:rFonts w:ascii="Arial" w:hAnsi="Arial"/>
                <w:sz w:val="18"/>
                <w:lang w:val="en-GB"/>
              </w:rPr>
              <w:t xml:space="preserve">Land cover information is </w:t>
            </w:r>
            <w:r w:rsidR="002D3B8B">
              <w:rPr>
                <w:rFonts w:ascii="Arial" w:hAnsi="Arial"/>
                <w:sz w:val="18"/>
                <w:lang w:val="en-GB"/>
              </w:rPr>
              <w:t>provided for</w:t>
            </w:r>
            <w:r w:rsidR="00EE5F65" w:rsidRPr="00EE5F65">
              <w:rPr>
                <w:rFonts w:ascii="Arial" w:hAnsi="Arial"/>
                <w:sz w:val="18"/>
                <w:lang w:val="en-GB"/>
              </w:rPr>
              <w:t xml:space="preserve"> 22 classes following the Land Cover Classification System (LCCS). Further regional classes are implemented allowing for a higher level of detail in the legend </w:t>
            </w:r>
          </w:p>
          <w:p w14:paraId="27B9F4A6" w14:textId="70774E9D" w:rsidR="00713DFD" w:rsidRPr="006E509E" w:rsidRDefault="00275626" w:rsidP="00713DFD">
            <w:pPr>
              <w:pStyle w:val="ListParagraph"/>
              <w:tabs>
                <w:tab w:val="left" w:pos="2126"/>
              </w:tabs>
              <w:spacing w:before="120" w:after="80" w:line="240" w:lineRule="atLeast"/>
              <w:rPr>
                <w:rFonts w:ascii="Arial" w:hAnsi="Arial" w:cs="Arial"/>
                <w:sz w:val="18"/>
                <w:szCs w:val="18"/>
                <w:lang w:val="en-GB"/>
              </w:rPr>
            </w:pPr>
            <w:hyperlink r:id="rId17" w:history="1">
              <w:r w:rsidR="00713DFD" w:rsidRPr="0078791E">
                <w:rPr>
                  <w:rStyle w:val="Hyperlink"/>
                  <w:rFonts w:ascii="Arial" w:hAnsi="Arial" w:cs="Arial"/>
                  <w:sz w:val="18"/>
                  <w:szCs w:val="18"/>
                </w:rPr>
                <w:t>https://www.esa-landcover-cci.org/</w:t>
              </w:r>
            </w:hyperlink>
          </w:p>
          <w:p w14:paraId="1968DEB5" w14:textId="520B8728" w:rsidR="005411D9" w:rsidRDefault="005411D9" w:rsidP="005411D9">
            <w:pPr>
              <w:pStyle w:val="ListParagraph"/>
              <w:numPr>
                <w:ilvl w:val="0"/>
                <w:numId w:val="22"/>
              </w:numPr>
              <w:tabs>
                <w:tab w:val="left" w:pos="2126"/>
              </w:tabs>
              <w:spacing w:before="120" w:after="80" w:line="240" w:lineRule="atLeast"/>
              <w:rPr>
                <w:rFonts w:ascii="Arial" w:hAnsi="Arial"/>
                <w:sz w:val="18"/>
                <w:lang w:val="en-GB"/>
              </w:rPr>
            </w:pPr>
            <w:r w:rsidRPr="00EE5F65">
              <w:rPr>
                <w:rFonts w:ascii="Arial" w:hAnsi="Arial"/>
                <w:b/>
                <w:bCs/>
                <w:sz w:val="18"/>
                <w:lang w:val="en-GB"/>
              </w:rPr>
              <w:t>Copernicus Dynamic Land Cover</w:t>
            </w:r>
            <w:r w:rsidR="00EE5F65" w:rsidRPr="00EE5F65">
              <w:rPr>
                <w:rFonts w:ascii="Arial" w:hAnsi="Arial"/>
                <w:sz w:val="18"/>
                <w:lang w:val="en-GB"/>
              </w:rPr>
              <w:t xml:space="preserve">: The dynamic land cover map provides a yearly global land cover map at 100m spatial resolution with an overall accuracy of higher than 85%. </w:t>
            </w:r>
          </w:p>
          <w:p w14:paraId="2A9090F3" w14:textId="223122AA" w:rsidR="00713DFD" w:rsidRPr="006E509E" w:rsidRDefault="00275626" w:rsidP="00713DFD">
            <w:pPr>
              <w:pStyle w:val="ListParagraph"/>
              <w:tabs>
                <w:tab w:val="left" w:pos="2126"/>
              </w:tabs>
              <w:spacing w:before="120" w:after="80" w:line="240" w:lineRule="atLeast"/>
              <w:rPr>
                <w:rFonts w:ascii="Arial" w:hAnsi="Arial" w:cs="Arial"/>
                <w:sz w:val="18"/>
                <w:szCs w:val="18"/>
                <w:lang w:val="en-GB"/>
              </w:rPr>
            </w:pPr>
            <w:hyperlink r:id="rId18" w:history="1">
              <w:r w:rsidR="00713DFD" w:rsidRPr="0078791E">
                <w:rPr>
                  <w:rStyle w:val="Hyperlink"/>
                  <w:rFonts w:ascii="Arial" w:hAnsi="Arial" w:cs="Arial"/>
                  <w:sz w:val="18"/>
                  <w:szCs w:val="18"/>
                </w:rPr>
                <w:t>https://land.copernicus.eu/global/products/lc</w:t>
              </w:r>
            </w:hyperlink>
          </w:p>
          <w:p w14:paraId="5B9E96BA" w14:textId="165CED2F" w:rsidR="00EE5F65" w:rsidRPr="00713DFD" w:rsidRDefault="005411D9" w:rsidP="00EE5F65">
            <w:pPr>
              <w:pStyle w:val="ListParagraph"/>
              <w:numPr>
                <w:ilvl w:val="0"/>
                <w:numId w:val="22"/>
              </w:numPr>
              <w:tabs>
                <w:tab w:val="left" w:pos="2126"/>
              </w:tabs>
              <w:spacing w:before="120" w:after="80" w:line="240" w:lineRule="atLeast"/>
              <w:rPr>
                <w:rFonts w:ascii="Arial" w:hAnsi="Arial"/>
                <w:i/>
                <w:sz w:val="18"/>
                <w:lang w:val="en-GB"/>
              </w:rPr>
            </w:pPr>
            <w:r w:rsidRPr="00EE5F65">
              <w:rPr>
                <w:rFonts w:ascii="Arial" w:hAnsi="Arial"/>
                <w:b/>
                <w:bCs/>
                <w:sz w:val="18"/>
                <w:lang w:val="en-GB"/>
              </w:rPr>
              <w:t>Pan-European Copernicus High resolution Layers</w:t>
            </w:r>
            <w:r w:rsidRPr="00EE5F65">
              <w:rPr>
                <w:rFonts w:ascii="Arial" w:hAnsi="Arial"/>
                <w:sz w:val="18"/>
                <w:lang w:val="en-GB"/>
              </w:rPr>
              <w:t xml:space="preserve"> </w:t>
            </w:r>
            <w:r w:rsidRPr="00EE5F65">
              <w:rPr>
                <w:rFonts w:ascii="Arial" w:hAnsi="Arial"/>
                <w:b/>
                <w:bCs/>
                <w:sz w:val="18"/>
                <w:lang w:val="en-GB"/>
              </w:rPr>
              <w:t>(HRL)</w:t>
            </w:r>
            <w:r w:rsidR="00EE5F65">
              <w:rPr>
                <w:rFonts w:ascii="Arial" w:hAnsi="Arial"/>
                <w:sz w:val="18"/>
                <w:lang w:val="en-GB"/>
              </w:rPr>
              <w:t>:</w:t>
            </w:r>
            <w:r w:rsidRPr="00EE5F65">
              <w:rPr>
                <w:rFonts w:ascii="Arial" w:hAnsi="Arial"/>
                <w:sz w:val="18"/>
                <w:lang w:val="en-GB"/>
              </w:rPr>
              <w:t xml:space="preserve"> </w:t>
            </w:r>
            <w:r w:rsidR="00EE5F65">
              <w:rPr>
                <w:rFonts w:ascii="Arial" w:hAnsi="Arial"/>
                <w:sz w:val="18"/>
                <w:lang w:val="en-GB"/>
              </w:rPr>
              <w:t xml:space="preserve">HRL maps are available </w:t>
            </w:r>
            <w:r w:rsidRPr="00EE5F65">
              <w:rPr>
                <w:rFonts w:ascii="Arial" w:hAnsi="Arial"/>
                <w:sz w:val="18"/>
                <w:lang w:val="en-GB"/>
              </w:rPr>
              <w:t>for imperviousness, forest, grasslands, water and wetness as well as small woody features for the year 2015 at 20m resolution</w:t>
            </w:r>
          </w:p>
          <w:p w14:paraId="0603DBD3" w14:textId="155FC6F2" w:rsidR="00713DFD" w:rsidRPr="006E509E" w:rsidRDefault="00275626" w:rsidP="00713DFD">
            <w:pPr>
              <w:pStyle w:val="ListParagraph"/>
              <w:tabs>
                <w:tab w:val="left" w:pos="2126"/>
              </w:tabs>
              <w:spacing w:before="120" w:after="80" w:line="240" w:lineRule="atLeast"/>
              <w:rPr>
                <w:rFonts w:ascii="Arial" w:hAnsi="Arial" w:cs="Arial"/>
                <w:sz w:val="18"/>
                <w:szCs w:val="18"/>
                <w:lang w:val="en-GB"/>
              </w:rPr>
            </w:pPr>
            <w:hyperlink r:id="rId19" w:history="1">
              <w:r w:rsidR="00713DFD" w:rsidRPr="0078791E">
                <w:rPr>
                  <w:rStyle w:val="Hyperlink"/>
                  <w:rFonts w:ascii="Arial" w:hAnsi="Arial" w:cs="Arial"/>
                  <w:sz w:val="18"/>
                  <w:szCs w:val="18"/>
                </w:rPr>
                <w:t>https://land.copernicus.eu/pan-european/high-resolution-layers</w:t>
              </w:r>
            </w:hyperlink>
          </w:p>
          <w:p w14:paraId="62B142E4" w14:textId="0423443C" w:rsidR="005411D9" w:rsidRPr="002D3B8B" w:rsidRDefault="005411D9" w:rsidP="00EE5F65">
            <w:pPr>
              <w:pStyle w:val="ListParagraph"/>
              <w:numPr>
                <w:ilvl w:val="0"/>
                <w:numId w:val="22"/>
              </w:numPr>
              <w:tabs>
                <w:tab w:val="left" w:pos="2126"/>
              </w:tabs>
              <w:spacing w:before="120" w:after="80" w:line="240" w:lineRule="atLeast"/>
              <w:rPr>
                <w:rFonts w:ascii="Arial" w:hAnsi="Arial"/>
                <w:iCs/>
                <w:sz w:val="18"/>
                <w:lang w:val="en-GB"/>
              </w:rPr>
            </w:pPr>
            <w:r w:rsidRPr="002D3B8B">
              <w:rPr>
                <w:rFonts w:ascii="Arial" w:hAnsi="Arial"/>
                <w:iCs/>
                <w:sz w:val="18"/>
                <w:lang w:val="en-GB"/>
              </w:rPr>
              <w:t xml:space="preserve">A Summary of additional existing global, regional as well as national land cover data available is provided in the GPG (2017, </w:t>
            </w:r>
            <w:r w:rsidR="00EE5F65" w:rsidRPr="002D3B8B">
              <w:rPr>
                <w:rFonts w:ascii="Arial" w:hAnsi="Arial"/>
                <w:iCs/>
                <w:sz w:val="18"/>
                <w:lang w:val="en-GB"/>
              </w:rPr>
              <w:t>V</w:t>
            </w:r>
            <w:r w:rsidRPr="002D3B8B">
              <w:rPr>
                <w:rFonts w:ascii="Arial" w:hAnsi="Arial"/>
                <w:iCs/>
                <w:sz w:val="18"/>
                <w:lang w:val="en-GB"/>
              </w:rPr>
              <w:t xml:space="preserve">ersion 1.0). The GPG further states the accuracy, geographical coverage, spatial resolution, time periods available as well as thematic resolution. </w:t>
            </w:r>
          </w:p>
          <w:p w14:paraId="28E5102E" w14:textId="5B94AAC6" w:rsidR="005411D9" w:rsidRPr="00EE5F65" w:rsidRDefault="005411D9" w:rsidP="00E87642">
            <w:pPr>
              <w:tabs>
                <w:tab w:val="left" w:pos="2126"/>
              </w:tabs>
              <w:spacing w:before="120" w:after="80" w:line="240" w:lineRule="atLeast"/>
              <w:rPr>
                <w:rFonts w:ascii="Arial" w:hAnsi="Arial"/>
                <w:i/>
                <w:iCs/>
                <w:sz w:val="18"/>
                <w:lang w:val="en-GB"/>
              </w:rPr>
            </w:pPr>
            <w:r w:rsidRPr="00EE5F65">
              <w:rPr>
                <w:rFonts w:ascii="Arial" w:hAnsi="Arial"/>
                <w:i/>
                <w:iCs/>
                <w:sz w:val="18"/>
                <w:lang w:val="en-GB"/>
              </w:rPr>
              <w:t>Land productivity datasets:</w:t>
            </w:r>
          </w:p>
          <w:p w14:paraId="4AE64799" w14:textId="489395DD" w:rsidR="005411D9" w:rsidRPr="00F20B1F" w:rsidRDefault="005411D9" w:rsidP="005411D9">
            <w:pPr>
              <w:pStyle w:val="ListParagraph"/>
              <w:numPr>
                <w:ilvl w:val="0"/>
                <w:numId w:val="22"/>
              </w:numPr>
              <w:tabs>
                <w:tab w:val="left" w:pos="2126"/>
              </w:tabs>
              <w:spacing w:before="120" w:after="80" w:line="240" w:lineRule="atLeast"/>
              <w:rPr>
                <w:rFonts w:ascii="Arial" w:hAnsi="Arial"/>
                <w:i/>
                <w:sz w:val="18"/>
                <w:lang w:val="en-GB"/>
              </w:rPr>
            </w:pPr>
            <w:r w:rsidRPr="006220DD">
              <w:rPr>
                <w:rFonts w:ascii="Arial" w:hAnsi="Arial"/>
                <w:b/>
                <w:bCs/>
                <w:sz w:val="18"/>
                <w:lang w:val="en-GB"/>
              </w:rPr>
              <w:t>JRC’s Land Productivity Dynamics (LPD) dataset</w:t>
            </w:r>
            <w:r w:rsidR="006220DD">
              <w:rPr>
                <w:rFonts w:ascii="Arial" w:hAnsi="Arial"/>
                <w:sz w:val="18"/>
                <w:lang w:val="en-GB"/>
              </w:rPr>
              <w:t xml:space="preserve">: </w:t>
            </w:r>
            <w:r w:rsidR="006220DD" w:rsidRPr="006220DD">
              <w:rPr>
                <w:rFonts w:ascii="Arial" w:hAnsi="Arial"/>
                <w:sz w:val="18"/>
                <w:lang w:val="en-GB"/>
              </w:rPr>
              <w:t>The LPD dataset is based on an analysis of long-term changes and current efficiency levels of vegetative or standing biomass</w:t>
            </w:r>
            <w:r w:rsidR="00FB736D">
              <w:rPr>
                <w:rFonts w:ascii="Arial" w:hAnsi="Arial"/>
                <w:sz w:val="18"/>
                <w:lang w:val="en-GB"/>
              </w:rPr>
              <w:t xml:space="preserve">. The LPD dataset was </w:t>
            </w:r>
            <w:r w:rsidR="00FB736D" w:rsidRPr="00FB736D">
              <w:rPr>
                <w:rFonts w:ascii="Arial" w:hAnsi="Arial"/>
                <w:sz w:val="18"/>
                <w:lang w:val="en-GB"/>
              </w:rPr>
              <w:t>derived from a 15-year time series (1999 to 2013) of global NDVI observations composited in 10-day intervals at a spatial resolution of 1 km</w:t>
            </w:r>
            <w:r w:rsidR="006220DD" w:rsidRPr="006220DD">
              <w:rPr>
                <w:rFonts w:ascii="Arial" w:hAnsi="Arial"/>
                <w:sz w:val="18"/>
                <w:lang w:val="en-GB"/>
              </w:rPr>
              <w:t>.</w:t>
            </w:r>
            <w:r w:rsidR="00F20B1F" w:rsidRPr="006E509E">
              <w:rPr>
                <w:rFonts w:ascii="Arial" w:hAnsi="Arial" w:cs="Arial"/>
                <w:sz w:val="18"/>
                <w:szCs w:val="18"/>
                <w:lang w:val="en-US"/>
              </w:rPr>
              <w:t xml:space="preserve"> </w:t>
            </w:r>
            <w:hyperlink r:id="rId20" w:history="1">
              <w:r w:rsidR="00F20B1F" w:rsidRPr="00867623">
                <w:rPr>
                  <w:rStyle w:val="Hyperlink"/>
                  <w:rFonts w:ascii="Arial" w:hAnsi="Arial" w:cs="Arial"/>
                  <w:sz w:val="18"/>
                  <w:szCs w:val="18"/>
                </w:rPr>
                <w:t>http://publications.jrc.ec.europa.eu/repository/handle/JRC80541</w:t>
              </w:r>
            </w:hyperlink>
          </w:p>
          <w:p w14:paraId="0282D9C5" w14:textId="5537BF14" w:rsidR="006220DD" w:rsidRPr="00F20B1F" w:rsidRDefault="005411D9" w:rsidP="00E87642">
            <w:pPr>
              <w:pStyle w:val="ListParagraph"/>
              <w:numPr>
                <w:ilvl w:val="0"/>
                <w:numId w:val="22"/>
              </w:numPr>
              <w:tabs>
                <w:tab w:val="left" w:pos="2126"/>
              </w:tabs>
              <w:spacing w:before="120" w:after="80" w:line="240" w:lineRule="atLeast"/>
              <w:rPr>
                <w:rFonts w:ascii="Arial" w:hAnsi="Arial"/>
                <w:i/>
                <w:sz w:val="18"/>
                <w:lang w:val="en-GB"/>
              </w:rPr>
            </w:pPr>
            <w:r w:rsidRPr="004A32E0">
              <w:rPr>
                <w:rFonts w:ascii="Arial" w:hAnsi="Arial"/>
                <w:b/>
                <w:bCs/>
                <w:sz w:val="18"/>
                <w:lang w:val="en-GB"/>
              </w:rPr>
              <w:t>Copernicus Global Land Service product</w:t>
            </w:r>
            <w:r w:rsidR="00F20B1F">
              <w:rPr>
                <w:rFonts w:ascii="Arial" w:hAnsi="Arial"/>
                <w:b/>
                <w:bCs/>
                <w:sz w:val="18"/>
                <w:lang w:val="en-GB"/>
              </w:rPr>
              <w:t>s:</w:t>
            </w:r>
            <w:r w:rsidR="006220DD">
              <w:rPr>
                <w:rFonts w:ascii="Arial" w:hAnsi="Arial"/>
                <w:sz w:val="18"/>
                <w:lang w:val="en-GB"/>
              </w:rPr>
              <w:t xml:space="preserve"> S</w:t>
            </w:r>
            <w:r w:rsidR="006220DD" w:rsidRPr="006220DD">
              <w:rPr>
                <w:rFonts w:ascii="Arial" w:hAnsi="Arial"/>
                <w:sz w:val="18"/>
                <w:lang w:val="en-GB"/>
              </w:rPr>
              <w:t>everal global datasets are available</w:t>
            </w:r>
            <w:r w:rsidR="006220DD">
              <w:rPr>
                <w:rFonts w:ascii="Arial" w:hAnsi="Arial"/>
                <w:sz w:val="18"/>
                <w:lang w:val="en-GB"/>
              </w:rPr>
              <w:t xml:space="preserve"> that allow for the assessment of vegetation condition including </w:t>
            </w:r>
            <w:r w:rsidR="006220DD" w:rsidRPr="006220DD">
              <w:rPr>
                <w:rFonts w:ascii="Arial" w:hAnsi="Arial"/>
                <w:sz w:val="18"/>
                <w:lang w:val="en-GB"/>
              </w:rPr>
              <w:t>Fraction of Absorbed Photosynthetically Active Radiation (FAPAR)</w:t>
            </w:r>
            <w:r w:rsidR="006220DD">
              <w:rPr>
                <w:rFonts w:ascii="Arial" w:hAnsi="Arial"/>
                <w:sz w:val="18"/>
                <w:lang w:val="en-GB"/>
              </w:rPr>
              <w:t xml:space="preserve">, </w:t>
            </w:r>
            <w:r w:rsidR="006220DD" w:rsidRPr="006220DD">
              <w:rPr>
                <w:rFonts w:ascii="Arial" w:hAnsi="Arial"/>
                <w:sz w:val="18"/>
                <w:lang w:val="en-GB"/>
              </w:rPr>
              <w:t>Fraction of green Vegetation Cover (</w:t>
            </w:r>
            <w:proofErr w:type="spellStart"/>
            <w:r w:rsidR="006220DD" w:rsidRPr="006220DD">
              <w:rPr>
                <w:rFonts w:ascii="Arial" w:hAnsi="Arial"/>
                <w:sz w:val="18"/>
                <w:lang w:val="en-GB"/>
              </w:rPr>
              <w:t>FCover</w:t>
            </w:r>
            <w:proofErr w:type="spellEnd"/>
            <w:r w:rsidR="006220DD" w:rsidRPr="006220DD">
              <w:rPr>
                <w:rFonts w:ascii="Arial" w:hAnsi="Arial"/>
                <w:sz w:val="18"/>
                <w:lang w:val="en-GB"/>
              </w:rPr>
              <w:t>)</w:t>
            </w:r>
            <w:r w:rsidR="006220DD">
              <w:rPr>
                <w:rFonts w:ascii="Arial" w:hAnsi="Arial"/>
                <w:sz w:val="18"/>
                <w:lang w:val="en-GB"/>
              </w:rPr>
              <w:t xml:space="preserve">, </w:t>
            </w:r>
            <w:r w:rsidR="006220DD" w:rsidRPr="006220DD">
              <w:rPr>
                <w:rFonts w:ascii="Arial" w:hAnsi="Arial"/>
                <w:sz w:val="18"/>
                <w:lang w:val="en-GB"/>
              </w:rPr>
              <w:t>Leaf Area Index (LAI)</w:t>
            </w:r>
            <w:r w:rsidR="006220DD" w:rsidRPr="006E509E">
              <w:rPr>
                <w:lang w:val="en-US"/>
              </w:rPr>
              <w:t xml:space="preserve">, </w:t>
            </w:r>
            <w:r w:rsidR="006220DD" w:rsidRPr="006220DD">
              <w:rPr>
                <w:rFonts w:ascii="Arial" w:hAnsi="Arial"/>
                <w:sz w:val="18"/>
                <w:lang w:val="en-GB"/>
              </w:rPr>
              <w:t>Normalized Difference Vegetation Index (NDVI</w:t>
            </w:r>
            <w:r w:rsidR="006220DD">
              <w:rPr>
                <w:rFonts w:ascii="Arial" w:hAnsi="Arial"/>
                <w:sz w:val="18"/>
                <w:lang w:val="en-GB"/>
              </w:rPr>
              <w:t xml:space="preserve">), </w:t>
            </w:r>
            <w:r w:rsidR="006220DD" w:rsidRPr="006220DD">
              <w:rPr>
                <w:rFonts w:ascii="Arial" w:hAnsi="Arial"/>
                <w:sz w:val="18"/>
                <w:lang w:val="en-GB"/>
              </w:rPr>
              <w:t>Vegetation Condition Index (VCI)</w:t>
            </w:r>
            <w:r w:rsidR="006220DD">
              <w:rPr>
                <w:rFonts w:ascii="Arial" w:hAnsi="Arial"/>
                <w:sz w:val="18"/>
                <w:lang w:val="en-GB"/>
              </w:rPr>
              <w:t xml:space="preserve">, and </w:t>
            </w:r>
            <w:r w:rsidR="006220DD" w:rsidRPr="006220DD">
              <w:rPr>
                <w:rFonts w:ascii="Arial" w:hAnsi="Arial"/>
                <w:sz w:val="18"/>
                <w:lang w:val="en-GB"/>
              </w:rPr>
              <w:t>Vegetation Productivity Index (VPI)</w:t>
            </w:r>
          </w:p>
          <w:p w14:paraId="14C38960" w14:textId="0AA6ABC5" w:rsidR="00F20B1F" w:rsidRPr="006E509E" w:rsidRDefault="00275626" w:rsidP="00F20B1F">
            <w:pPr>
              <w:pStyle w:val="ListParagraph"/>
              <w:tabs>
                <w:tab w:val="left" w:pos="2126"/>
              </w:tabs>
              <w:spacing w:before="120" w:after="80" w:line="240" w:lineRule="atLeast"/>
              <w:rPr>
                <w:rStyle w:val="Hyperlink"/>
                <w:rFonts w:cs="Arial"/>
                <w:szCs w:val="18"/>
                <w:lang w:val="en-GB"/>
              </w:rPr>
            </w:pPr>
            <w:hyperlink r:id="rId21" w:history="1">
              <w:r w:rsidR="00F20B1F" w:rsidRPr="0078791E">
                <w:rPr>
                  <w:rStyle w:val="Hyperlink"/>
                  <w:rFonts w:ascii="Arial" w:hAnsi="Arial" w:cs="Arial"/>
                  <w:sz w:val="18"/>
                  <w:szCs w:val="18"/>
                </w:rPr>
                <w:t>https://land.copernicus.eu/global/</w:t>
              </w:r>
            </w:hyperlink>
          </w:p>
          <w:p w14:paraId="6E2CC058" w14:textId="437DABDF" w:rsidR="005411D9" w:rsidRPr="003F1E3A" w:rsidRDefault="005411D9" w:rsidP="00E87642">
            <w:pPr>
              <w:pStyle w:val="ListParagraph"/>
              <w:numPr>
                <w:ilvl w:val="0"/>
                <w:numId w:val="22"/>
              </w:numPr>
              <w:tabs>
                <w:tab w:val="left" w:pos="2126"/>
              </w:tabs>
              <w:spacing w:before="120" w:after="80" w:line="240" w:lineRule="atLeast"/>
              <w:rPr>
                <w:rFonts w:ascii="Arial" w:hAnsi="Arial"/>
                <w:sz w:val="18"/>
                <w:lang w:val="en-GB"/>
              </w:rPr>
            </w:pPr>
            <w:r w:rsidRPr="003F1E3A">
              <w:rPr>
                <w:rFonts w:ascii="Arial" w:hAnsi="Arial"/>
                <w:sz w:val="18"/>
                <w:lang w:val="en-GB"/>
              </w:rPr>
              <w:t xml:space="preserve">An overview for low or no-cost satellite sensors and data streams (e.g. PROBA-V, Vegetation, MODIS, etc.) utilized for land surface phenology studies </w:t>
            </w:r>
            <w:r w:rsidR="003F1E3A">
              <w:rPr>
                <w:rFonts w:ascii="Arial" w:hAnsi="Arial"/>
                <w:sz w:val="18"/>
                <w:lang w:val="en-GB"/>
              </w:rPr>
              <w:t>is</w:t>
            </w:r>
            <w:r w:rsidRPr="003F1E3A">
              <w:rPr>
                <w:rFonts w:ascii="Arial" w:hAnsi="Arial"/>
                <w:sz w:val="18"/>
                <w:lang w:val="en-GB"/>
              </w:rPr>
              <w:t xml:space="preserve"> provided in the GPG (2017, version 1.0).</w:t>
            </w:r>
          </w:p>
          <w:p w14:paraId="014C372A" w14:textId="034FEC65" w:rsidR="005411D9" w:rsidRPr="00EE5F65" w:rsidRDefault="005411D9" w:rsidP="00E87642">
            <w:pPr>
              <w:tabs>
                <w:tab w:val="left" w:pos="2126"/>
              </w:tabs>
              <w:spacing w:before="120" w:after="80" w:line="240" w:lineRule="atLeast"/>
              <w:rPr>
                <w:rFonts w:ascii="Arial" w:hAnsi="Arial"/>
                <w:i/>
                <w:iCs/>
                <w:sz w:val="18"/>
                <w:lang w:val="en-GB"/>
              </w:rPr>
            </w:pPr>
            <w:r w:rsidRPr="00EE5F65">
              <w:rPr>
                <w:rFonts w:ascii="Arial" w:hAnsi="Arial"/>
                <w:i/>
                <w:iCs/>
                <w:sz w:val="18"/>
                <w:lang w:val="en-GB"/>
              </w:rPr>
              <w:t xml:space="preserve">Soil </w:t>
            </w:r>
            <w:r w:rsidR="003C627D">
              <w:rPr>
                <w:rFonts w:ascii="Arial" w:hAnsi="Arial"/>
                <w:i/>
                <w:iCs/>
                <w:sz w:val="18"/>
                <w:lang w:val="en-GB"/>
              </w:rPr>
              <w:t>O</w:t>
            </w:r>
            <w:r w:rsidRPr="00EE5F65">
              <w:rPr>
                <w:rFonts w:ascii="Arial" w:hAnsi="Arial"/>
                <w:i/>
                <w:iCs/>
                <w:sz w:val="18"/>
                <w:lang w:val="en-GB"/>
              </w:rPr>
              <w:t>rganic Carbon datasets:</w:t>
            </w:r>
          </w:p>
          <w:p w14:paraId="5800A85E" w14:textId="182FA57F" w:rsidR="005411D9" w:rsidRPr="00F20B1F" w:rsidRDefault="005411D9" w:rsidP="0030352C">
            <w:pPr>
              <w:pStyle w:val="ListParagraph"/>
              <w:numPr>
                <w:ilvl w:val="0"/>
                <w:numId w:val="22"/>
              </w:numPr>
              <w:tabs>
                <w:tab w:val="left" w:pos="2126"/>
              </w:tabs>
              <w:spacing w:before="120" w:after="80" w:line="240" w:lineRule="atLeast"/>
              <w:rPr>
                <w:rFonts w:ascii="Arial" w:hAnsi="Arial"/>
                <w:i/>
                <w:sz w:val="18"/>
                <w:lang w:val="en-GB"/>
              </w:rPr>
            </w:pPr>
            <w:r w:rsidRPr="00B10D8B">
              <w:rPr>
                <w:rFonts w:ascii="Arial" w:hAnsi="Arial"/>
                <w:b/>
                <w:bCs/>
                <w:sz w:val="18"/>
                <w:lang w:val="en-GB"/>
              </w:rPr>
              <w:t>Harmonized World Soil Database (HWSD), Version 1.2</w:t>
            </w:r>
            <w:r w:rsidR="003F1E3A" w:rsidRPr="003F1E3A">
              <w:rPr>
                <w:rFonts w:ascii="Arial" w:hAnsi="Arial"/>
                <w:sz w:val="18"/>
                <w:lang w:val="en-GB"/>
              </w:rPr>
              <w:t xml:space="preserve">: </w:t>
            </w:r>
            <w:r w:rsidR="002D3B8B">
              <w:rPr>
                <w:rFonts w:ascii="Arial" w:hAnsi="Arial"/>
                <w:sz w:val="18"/>
                <w:lang w:val="en-GB"/>
              </w:rPr>
              <w:t xml:space="preserve">The HWSD was produced by FAO, IIASA, </w:t>
            </w:r>
            <w:r w:rsidR="002D3B8B" w:rsidRPr="002D3B8B">
              <w:rPr>
                <w:rFonts w:ascii="Arial" w:hAnsi="Arial"/>
                <w:sz w:val="18"/>
                <w:lang w:val="en-GB"/>
              </w:rPr>
              <w:t>ISRIC-World Soil Information, Institute of Soil Science, Chinese Academy of Sciences (ISSCAS), and the JRC</w:t>
            </w:r>
            <w:r w:rsidR="002D3B8B">
              <w:rPr>
                <w:rFonts w:ascii="Arial" w:hAnsi="Arial"/>
                <w:sz w:val="18"/>
                <w:lang w:val="en-GB"/>
              </w:rPr>
              <w:t xml:space="preserve">. It is </w:t>
            </w:r>
            <w:r w:rsidR="002D3B8B" w:rsidRPr="002D3B8B">
              <w:rPr>
                <w:rFonts w:ascii="Arial" w:hAnsi="Arial"/>
                <w:sz w:val="18"/>
                <w:lang w:val="en-GB"/>
              </w:rPr>
              <w:t xml:space="preserve">a 30 arc-second raster database </w:t>
            </w:r>
            <w:r w:rsidR="002D3B8B">
              <w:rPr>
                <w:rFonts w:ascii="Arial" w:hAnsi="Arial"/>
                <w:sz w:val="18"/>
                <w:lang w:val="en-GB"/>
              </w:rPr>
              <w:t xml:space="preserve">that provides information on </w:t>
            </w:r>
            <w:r w:rsidR="002D3B8B" w:rsidRPr="002D3B8B">
              <w:rPr>
                <w:rFonts w:ascii="Arial" w:hAnsi="Arial"/>
                <w:sz w:val="18"/>
                <w:lang w:val="en-GB"/>
              </w:rPr>
              <w:t>over 15000 different soil mapping units</w:t>
            </w:r>
            <w:r w:rsidR="00942943" w:rsidRPr="0030352C">
              <w:rPr>
                <w:rFonts w:ascii="Arial" w:hAnsi="Arial"/>
                <w:sz w:val="18"/>
                <w:lang w:val="en-GB"/>
              </w:rPr>
              <w:t xml:space="preserve">. </w:t>
            </w:r>
          </w:p>
          <w:p w14:paraId="26D9403A" w14:textId="24C29CE2" w:rsidR="00F20B1F" w:rsidRPr="006E509E" w:rsidRDefault="00275626" w:rsidP="00F20B1F">
            <w:pPr>
              <w:pStyle w:val="ListParagraph"/>
              <w:tabs>
                <w:tab w:val="left" w:pos="2126"/>
              </w:tabs>
              <w:spacing w:before="120" w:after="80" w:line="240" w:lineRule="atLeast"/>
              <w:rPr>
                <w:rFonts w:ascii="Arial" w:hAnsi="Arial" w:cs="Arial"/>
                <w:sz w:val="18"/>
                <w:szCs w:val="18"/>
                <w:lang w:val="en-GB"/>
              </w:rPr>
            </w:pPr>
            <w:hyperlink r:id="rId22" w:history="1">
              <w:r w:rsidR="00F20B1F" w:rsidRPr="0078791E">
                <w:rPr>
                  <w:rStyle w:val="Hyperlink"/>
                  <w:rFonts w:ascii="Arial" w:hAnsi="Arial" w:cs="Arial"/>
                  <w:sz w:val="18"/>
                  <w:szCs w:val="18"/>
                </w:rPr>
                <w:t>http://www.fao.org/soils-portal/soil-survey/soil-maps-and-databases/harmonized-world-soil-database-v12/en/</w:t>
              </w:r>
            </w:hyperlink>
          </w:p>
          <w:p w14:paraId="421FC621" w14:textId="3D704C65" w:rsidR="005411D9" w:rsidRPr="00F20B1F" w:rsidRDefault="005411D9" w:rsidP="005411D9">
            <w:pPr>
              <w:pStyle w:val="ListParagraph"/>
              <w:numPr>
                <w:ilvl w:val="0"/>
                <w:numId w:val="22"/>
              </w:numPr>
              <w:tabs>
                <w:tab w:val="left" w:pos="2126"/>
              </w:tabs>
              <w:spacing w:before="120" w:after="80" w:line="240" w:lineRule="atLeast"/>
              <w:rPr>
                <w:rFonts w:ascii="Arial" w:hAnsi="Arial"/>
                <w:i/>
                <w:iCs/>
                <w:sz w:val="18"/>
                <w:lang w:val="en-GB"/>
              </w:rPr>
            </w:pPr>
            <w:r w:rsidRPr="00B10D8B">
              <w:rPr>
                <w:rFonts w:ascii="Arial" w:hAnsi="Arial"/>
                <w:b/>
                <w:bCs/>
                <w:sz w:val="18"/>
                <w:lang w:val="en-GB"/>
              </w:rPr>
              <w:t>ISRIC’s SoilGrids250</w:t>
            </w:r>
            <w:r w:rsidR="00F20B1F">
              <w:rPr>
                <w:rFonts w:ascii="Arial" w:hAnsi="Arial"/>
                <w:b/>
                <w:bCs/>
                <w:sz w:val="18"/>
                <w:lang w:val="en-GB"/>
              </w:rPr>
              <w:t>m:</w:t>
            </w:r>
            <w:r w:rsidR="003F1E3A">
              <w:rPr>
                <w:rFonts w:ascii="Arial" w:hAnsi="Arial"/>
                <w:sz w:val="18"/>
                <w:lang w:val="en-GB"/>
              </w:rPr>
              <w:t xml:space="preserve"> </w:t>
            </w:r>
            <w:proofErr w:type="spellStart"/>
            <w:r w:rsidR="007E3B41" w:rsidRPr="007E3B41">
              <w:rPr>
                <w:rFonts w:ascii="Arial" w:hAnsi="Arial"/>
                <w:sz w:val="18"/>
                <w:lang w:val="en-GB"/>
              </w:rPr>
              <w:t>SoilGrids</w:t>
            </w:r>
            <w:proofErr w:type="spellEnd"/>
            <w:r w:rsidR="007E3B41" w:rsidRPr="007E3B41">
              <w:rPr>
                <w:rFonts w:ascii="Arial" w:hAnsi="Arial"/>
                <w:sz w:val="18"/>
                <w:lang w:val="en-GB"/>
              </w:rPr>
              <w:t xml:space="preserve"> is a system for automated soil mapping based on state-of-the-art spatial predictions methods.</w:t>
            </w:r>
            <w:r w:rsidR="00344EDB">
              <w:rPr>
                <w:rFonts w:ascii="Arial" w:hAnsi="Arial"/>
                <w:sz w:val="18"/>
                <w:lang w:val="en-GB"/>
              </w:rPr>
              <w:t xml:space="preserve"> </w:t>
            </w:r>
            <w:r w:rsidR="007E3B41">
              <w:rPr>
                <w:rFonts w:ascii="Arial" w:hAnsi="Arial"/>
                <w:sz w:val="18"/>
                <w:lang w:val="en-GB"/>
              </w:rPr>
              <w:t xml:space="preserve">It provides </w:t>
            </w:r>
            <w:r w:rsidR="007E3B41" w:rsidRPr="007E3B41">
              <w:rPr>
                <w:rFonts w:ascii="Arial" w:hAnsi="Arial"/>
                <w:sz w:val="18"/>
                <w:lang w:val="en-GB"/>
              </w:rPr>
              <w:t xml:space="preserve">soil property and class maps of the world </w:t>
            </w:r>
            <w:r w:rsidR="007E3B41" w:rsidRPr="007E3B41">
              <w:rPr>
                <w:rFonts w:ascii="Arial" w:hAnsi="Arial"/>
                <w:sz w:val="18"/>
                <w:lang w:val="en-GB"/>
              </w:rPr>
              <w:lastRenderedPageBreak/>
              <w:t>at 1 km / 250 m spatial resolutions produced using automated soil mapping based on machine learning algorithms</w:t>
            </w:r>
            <w:r w:rsidR="007E3B41">
              <w:rPr>
                <w:rFonts w:ascii="Arial" w:hAnsi="Arial"/>
                <w:sz w:val="18"/>
                <w:lang w:val="en-GB"/>
              </w:rPr>
              <w:t xml:space="preserve">. </w:t>
            </w:r>
            <w:hyperlink r:id="rId23" w:history="1">
              <w:r w:rsidR="00F20B1F" w:rsidRPr="00867623">
                <w:rPr>
                  <w:rStyle w:val="Hyperlink"/>
                  <w:rFonts w:ascii="Arial" w:hAnsi="Arial" w:cs="Arial"/>
                  <w:sz w:val="18"/>
                  <w:szCs w:val="18"/>
                </w:rPr>
                <w:t>https://www.isric.org/explore/soilgrids</w:t>
              </w:r>
            </w:hyperlink>
          </w:p>
          <w:p w14:paraId="2F1499B8" w14:textId="59094A17" w:rsidR="008A6B95" w:rsidRPr="00F20B1F" w:rsidRDefault="008A6B95" w:rsidP="00806859">
            <w:pPr>
              <w:pStyle w:val="ListParagraph"/>
              <w:numPr>
                <w:ilvl w:val="0"/>
                <w:numId w:val="22"/>
              </w:numPr>
              <w:tabs>
                <w:tab w:val="left" w:pos="2126"/>
              </w:tabs>
              <w:spacing w:before="120" w:after="80" w:line="240" w:lineRule="atLeast"/>
              <w:rPr>
                <w:rFonts w:ascii="Arial" w:hAnsi="Arial"/>
                <w:i/>
                <w:iCs/>
                <w:sz w:val="18"/>
                <w:lang w:val="en-GB"/>
              </w:rPr>
            </w:pPr>
            <w:r w:rsidRPr="005F78E4">
              <w:rPr>
                <w:rFonts w:ascii="Arial" w:hAnsi="Arial"/>
                <w:b/>
                <w:bCs/>
                <w:sz w:val="18"/>
                <w:lang w:val="en-GB"/>
              </w:rPr>
              <w:t>Global Soil Organic Carbon Map v1.0</w:t>
            </w:r>
            <w:r w:rsidRPr="005F78E4">
              <w:rPr>
                <w:rFonts w:ascii="Arial" w:hAnsi="Arial"/>
                <w:sz w:val="18"/>
                <w:lang w:val="en-GB"/>
              </w:rPr>
              <w:t xml:space="preserve">: The GSOC map </w:t>
            </w:r>
            <w:r w:rsidR="005F78E4">
              <w:rPr>
                <w:rFonts w:ascii="Arial" w:hAnsi="Arial"/>
                <w:sz w:val="18"/>
                <w:lang w:val="en-GB"/>
              </w:rPr>
              <w:t>was produced by t</w:t>
            </w:r>
            <w:r w:rsidR="005F78E4" w:rsidRPr="005F78E4">
              <w:rPr>
                <w:rFonts w:ascii="Arial" w:hAnsi="Arial"/>
                <w:sz w:val="18"/>
                <w:lang w:val="en-GB"/>
              </w:rPr>
              <w:t>he Global Soil Partnership (GSP) and the Intergovernmental Technical Panel on Soils (ITPS)</w:t>
            </w:r>
            <w:r w:rsidR="00F707A8">
              <w:rPr>
                <w:rFonts w:ascii="Arial" w:hAnsi="Arial"/>
                <w:sz w:val="18"/>
                <w:lang w:val="en-GB"/>
              </w:rPr>
              <w:t xml:space="preserve"> in a </w:t>
            </w:r>
            <w:r w:rsidR="00F707A8" w:rsidRPr="00F707A8">
              <w:rPr>
                <w:rFonts w:ascii="Arial" w:hAnsi="Arial"/>
                <w:sz w:val="18"/>
                <w:lang w:val="en-GB"/>
              </w:rPr>
              <w:t>consultative and participatory process involving 110 countries</w:t>
            </w:r>
            <w:r w:rsidR="005F78E4">
              <w:rPr>
                <w:rFonts w:ascii="Arial" w:hAnsi="Arial"/>
                <w:sz w:val="18"/>
                <w:lang w:val="en-GB"/>
              </w:rPr>
              <w:t xml:space="preserve">. It </w:t>
            </w:r>
            <w:r w:rsidR="005F78E4" w:rsidRPr="005F78E4">
              <w:rPr>
                <w:rFonts w:ascii="Arial" w:hAnsi="Arial"/>
                <w:sz w:val="18"/>
                <w:lang w:val="en-GB"/>
              </w:rPr>
              <w:t xml:space="preserve">allows for SOC stock estimations </w:t>
            </w:r>
            <w:bookmarkStart w:id="1" w:name="_Hlk16085178"/>
            <w:r w:rsidR="005F78E4" w:rsidRPr="005F78E4">
              <w:rPr>
                <w:rFonts w:ascii="Arial" w:hAnsi="Arial"/>
                <w:sz w:val="18"/>
                <w:lang w:val="en-GB"/>
              </w:rPr>
              <w:t>from 0 to 30 cm</w:t>
            </w:r>
            <w:bookmarkEnd w:id="1"/>
            <w:r w:rsidR="005F78E4">
              <w:rPr>
                <w:rFonts w:ascii="Arial" w:hAnsi="Arial"/>
                <w:sz w:val="18"/>
                <w:lang w:val="en-GB"/>
              </w:rPr>
              <w:t xml:space="preserve">, </w:t>
            </w:r>
            <w:r w:rsidRPr="005F78E4">
              <w:rPr>
                <w:rFonts w:ascii="Arial" w:hAnsi="Arial"/>
                <w:sz w:val="18"/>
                <w:lang w:val="en-GB"/>
              </w:rPr>
              <w:t>provid</w:t>
            </w:r>
            <w:r w:rsidR="005F78E4">
              <w:rPr>
                <w:rFonts w:ascii="Arial" w:hAnsi="Arial"/>
                <w:sz w:val="18"/>
                <w:lang w:val="en-GB"/>
              </w:rPr>
              <w:t>ing</w:t>
            </w:r>
            <w:r w:rsidRPr="005F78E4">
              <w:rPr>
                <w:rFonts w:ascii="Arial" w:hAnsi="Arial"/>
                <w:sz w:val="18"/>
                <w:lang w:val="en-GB"/>
              </w:rPr>
              <w:t xml:space="preserve"> information to monitor soil condition, identify degraded areas, set restoration targets, explore SOC sequestration potentials, </w:t>
            </w:r>
            <w:r w:rsidR="005F78E4">
              <w:rPr>
                <w:rFonts w:ascii="Arial" w:hAnsi="Arial"/>
                <w:sz w:val="18"/>
                <w:lang w:val="en-GB"/>
              </w:rPr>
              <w:t>etc.</w:t>
            </w:r>
            <w:r w:rsidR="00F20B1F" w:rsidRPr="006E509E">
              <w:rPr>
                <w:rFonts w:ascii="Arial" w:hAnsi="Arial" w:cs="Arial"/>
                <w:sz w:val="18"/>
                <w:szCs w:val="18"/>
                <w:lang w:val="en-US"/>
              </w:rPr>
              <w:t xml:space="preserve"> </w:t>
            </w:r>
            <w:hyperlink r:id="rId24" w:history="1">
              <w:r w:rsidR="00F20B1F" w:rsidRPr="00867623">
                <w:rPr>
                  <w:rStyle w:val="Hyperlink"/>
                  <w:rFonts w:ascii="Arial" w:hAnsi="Arial" w:cs="Arial"/>
                  <w:sz w:val="18"/>
                  <w:szCs w:val="18"/>
                </w:rPr>
                <w:t>http://www.fao.org/3/i8195en/I8195EN.pdf</w:t>
              </w:r>
            </w:hyperlink>
          </w:p>
          <w:p w14:paraId="2051F985" w14:textId="0696890D" w:rsidR="005411D9" w:rsidRPr="00122C18" w:rsidRDefault="005411D9" w:rsidP="003B3BD7">
            <w:pPr>
              <w:keepNext/>
              <w:tabs>
                <w:tab w:val="left" w:pos="2126"/>
              </w:tabs>
              <w:spacing w:before="120" w:after="80" w:line="240" w:lineRule="atLeast"/>
              <w:rPr>
                <w:rFonts w:ascii="Arial" w:hAnsi="Arial"/>
                <w:b/>
                <w:bCs/>
                <w:sz w:val="18"/>
                <w:lang w:val="en-GB"/>
              </w:rPr>
            </w:pPr>
            <w:r w:rsidRPr="00122C18">
              <w:rPr>
                <w:rFonts w:ascii="Arial" w:hAnsi="Arial"/>
                <w:b/>
                <w:bCs/>
                <w:sz w:val="18"/>
                <w:lang w:val="en-GB"/>
              </w:rPr>
              <w:t>Platforms and Tools:</w:t>
            </w:r>
          </w:p>
          <w:p w14:paraId="22CB0ECD" w14:textId="3265004D" w:rsidR="005411D9" w:rsidRPr="004A32E0" w:rsidRDefault="004A32E0" w:rsidP="005411D9">
            <w:pPr>
              <w:pStyle w:val="ListParagraph"/>
              <w:numPr>
                <w:ilvl w:val="0"/>
                <w:numId w:val="24"/>
              </w:numPr>
              <w:tabs>
                <w:tab w:val="left" w:pos="2126"/>
              </w:tabs>
              <w:spacing w:before="120" w:after="80" w:line="240" w:lineRule="atLeast"/>
              <w:rPr>
                <w:rFonts w:ascii="Arial" w:hAnsi="Arial"/>
                <w:i/>
                <w:iCs/>
                <w:sz w:val="18"/>
                <w:lang w:val="en-GB"/>
              </w:rPr>
            </w:pPr>
            <w:proofErr w:type="spellStart"/>
            <w:r w:rsidRPr="004A32E0">
              <w:rPr>
                <w:rFonts w:ascii="Arial" w:hAnsi="Arial"/>
                <w:b/>
                <w:bCs/>
                <w:sz w:val="18"/>
                <w:lang w:val="en-GB"/>
              </w:rPr>
              <w:t>Trends.Earth</w:t>
            </w:r>
            <w:proofErr w:type="spellEnd"/>
            <w:r>
              <w:rPr>
                <w:rFonts w:ascii="Arial" w:hAnsi="Arial"/>
                <w:i/>
                <w:iCs/>
                <w:sz w:val="18"/>
                <w:lang w:val="en-GB"/>
              </w:rPr>
              <w:t xml:space="preserve"> </w:t>
            </w:r>
            <w:r w:rsidR="005411D9" w:rsidRPr="004A32E0">
              <w:rPr>
                <w:rFonts w:ascii="Arial" w:hAnsi="Arial"/>
                <w:sz w:val="18"/>
                <w:lang w:val="en-GB"/>
              </w:rPr>
              <w:t xml:space="preserve">represents a platform for monitoring land change using EO in </w:t>
            </w:r>
            <w:r>
              <w:rPr>
                <w:rFonts w:ascii="Arial" w:hAnsi="Arial"/>
                <w:sz w:val="18"/>
                <w:lang w:val="en-GB"/>
              </w:rPr>
              <w:t>a</w:t>
            </w:r>
            <w:r w:rsidR="005411D9" w:rsidRPr="004A32E0">
              <w:rPr>
                <w:rFonts w:ascii="Arial" w:hAnsi="Arial"/>
                <w:sz w:val="18"/>
                <w:lang w:val="en-GB"/>
              </w:rPr>
              <w:t xml:space="preserve"> desktop and cloud-based system. </w:t>
            </w:r>
            <w:r>
              <w:rPr>
                <w:rFonts w:ascii="Arial" w:hAnsi="Arial"/>
                <w:sz w:val="18"/>
                <w:lang w:val="en-GB"/>
              </w:rPr>
              <w:t>The</w:t>
            </w:r>
            <w:r w:rsidR="005411D9" w:rsidRPr="004A32E0">
              <w:rPr>
                <w:rFonts w:ascii="Arial" w:hAnsi="Arial"/>
                <w:sz w:val="18"/>
                <w:lang w:val="en-GB"/>
              </w:rPr>
              <w:t xml:space="preserve"> tool is providing land degradation estimations</w:t>
            </w:r>
            <w:r>
              <w:rPr>
                <w:rFonts w:ascii="Arial" w:hAnsi="Arial"/>
                <w:sz w:val="18"/>
                <w:lang w:val="en-GB"/>
              </w:rPr>
              <w:t xml:space="preserve"> </w:t>
            </w:r>
            <w:r w:rsidR="005411D9" w:rsidRPr="004A32E0">
              <w:rPr>
                <w:rFonts w:ascii="Arial" w:hAnsi="Arial"/>
                <w:sz w:val="18"/>
                <w:lang w:val="en-GB"/>
              </w:rPr>
              <w:t xml:space="preserve">at 1km spatial resolution. </w:t>
            </w:r>
          </w:p>
          <w:p w14:paraId="0C8B61D6" w14:textId="39D898C7" w:rsidR="00122C18" w:rsidRPr="00E11C0C" w:rsidRDefault="004A32E0" w:rsidP="00E11C0C">
            <w:pPr>
              <w:pStyle w:val="ListParagraph"/>
              <w:numPr>
                <w:ilvl w:val="0"/>
                <w:numId w:val="24"/>
              </w:numPr>
              <w:tabs>
                <w:tab w:val="left" w:pos="2126"/>
              </w:tabs>
              <w:spacing w:before="120" w:after="80" w:line="240" w:lineRule="atLeast"/>
              <w:rPr>
                <w:rFonts w:ascii="Arial" w:hAnsi="Arial"/>
                <w:i/>
                <w:iCs/>
                <w:sz w:val="18"/>
                <w:lang w:val="en-GB"/>
              </w:rPr>
            </w:pPr>
            <w:r w:rsidRPr="004A32E0">
              <w:rPr>
                <w:rFonts w:ascii="Arial" w:hAnsi="Arial"/>
                <w:b/>
                <w:bCs/>
                <w:sz w:val="18"/>
                <w:lang w:val="en-GB"/>
              </w:rPr>
              <w:t xml:space="preserve">Swiss </w:t>
            </w:r>
            <w:r w:rsidR="00AE3D92">
              <w:rPr>
                <w:rFonts w:ascii="Arial" w:hAnsi="Arial"/>
                <w:b/>
                <w:bCs/>
                <w:sz w:val="18"/>
                <w:lang w:val="en-GB"/>
              </w:rPr>
              <w:t>D</w:t>
            </w:r>
            <w:r w:rsidRPr="004A32E0">
              <w:rPr>
                <w:rFonts w:ascii="Arial" w:hAnsi="Arial"/>
                <w:b/>
                <w:bCs/>
                <w:sz w:val="18"/>
                <w:lang w:val="en-GB"/>
              </w:rPr>
              <w:t xml:space="preserve">ata </w:t>
            </w:r>
            <w:r w:rsidR="00AE3D92">
              <w:rPr>
                <w:rFonts w:ascii="Arial" w:hAnsi="Arial"/>
                <w:b/>
                <w:bCs/>
                <w:sz w:val="18"/>
                <w:lang w:val="en-GB"/>
              </w:rPr>
              <w:t>C</w:t>
            </w:r>
            <w:r w:rsidRPr="004A32E0">
              <w:rPr>
                <w:rFonts w:ascii="Arial" w:hAnsi="Arial"/>
                <w:b/>
                <w:bCs/>
                <w:sz w:val="18"/>
                <w:lang w:val="en-GB"/>
              </w:rPr>
              <w:t>ube</w:t>
            </w:r>
            <w:r w:rsidR="00AE3D92">
              <w:rPr>
                <w:rFonts w:ascii="Arial" w:hAnsi="Arial"/>
                <w:b/>
                <w:bCs/>
                <w:sz w:val="18"/>
                <w:lang w:val="en-GB"/>
              </w:rPr>
              <w:t xml:space="preserve"> (SDC)</w:t>
            </w:r>
            <w:r>
              <w:rPr>
                <w:rFonts w:ascii="Arial" w:hAnsi="Arial"/>
                <w:i/>
                <w:iCs/>
                <w:sz w:val="18"/>
                <w:lang w:val="en-GB"/>
              </w:rPr>
              <w:t xml:space="preserve">: </w:t>
            </w:r>
            <w:r w:rsidRPr="004A32E0">
              <w:rPr>
                <w:rFonts w:ascii="Arial" w:hAnsi="Arial"/>
                <w:sz w:val="18"/>
                <w:lang w:val="en-GB"/>
              </w:rPr>
              <w:t>UN Environment/GRID-Geneva and the University of Geneva are currently building the SDC</w:t>
            </w:r>
            <w:r>
              <w:rPr>
                <w:rFonts w:ascii="Arial" w:hAnsi="Arial"/>
                <w:sz w:val="18"/>
                <w:lang w:val="en-GB"/>
              </w:rPr>
              <w:t xml:space="preserve">. The SDC </w:t>
            </w:r>
            <w:r w:rsidR="005411D9" w:rsidRPr="004A32E0">
              <w:rPr>
                <w:rFonts w:ascii="Arial" w:hAnsi="Arial"/>
                <w:sz w:val="18"/>
                <w:lang w:val="en-GB"/>
              </w:rPr>
              <w:t xml:space="preserve">has started to implement algorithms for monitoring land cover and land productivity changes using the </w:t>
            </w:r>
            <w:proofErr w:type="spellStart"/>
            <w:r w:rsidR="005411D9" w:rsidRPr="004A32E0">
              <w:rPr>
                <w:rFonts w:ascii="Arial" w:hAnsi="Arial"/>
                <w:sz w:val="18"/>
                <w:lang w:val="en-GB"/>
              </w:rPr>
              <w:t>Trends.Earth</w:t>
            </w:r>
            <w:proofErr w:type="spellEnd"/>
            <w:r w:rsidR="005411D9" w:rsidRPr="004A32E0">
              <w:rPr>
                <w:rFonts w:ascii="Arial" w:hAnsi="Arial"/>
                <w:sz w:val="18"/>
                <w:lang w:val="en-GB"/>
              </w:rPr>
              <w:t xml:space="preserve"> algorithms on Sentinel data</w:t>
            </w:r>
            <w:r>
              <w:rPr>
                <w:rFonts w:ascii="Arial" w:hAnsi="Arial"/>
                <w:sz w:val="18"/>
                <w:lang w:val="en-GB"/>
              </w:rPr>
              <w:t xml:space="preserve"> streams</w:t>
            </w:r>
            <w:r w:rsidR="005411D9" w:rsidRPr="004A32E0">
              <w:rPr>
                <w:rFonts w:ascii="Arial" w:hAnsi="Arial"/>
                <w:sz w:val="18"/>
                <w:lang w:val="en-GB"/>
              </w:rPr>
              <w:t xml:space="preserve">. </w:t>
            </w:r>
          </w:p>
        </w:tc>
      </w:tr>
      <w:tr w:rsidR="00E11C0C" w:rsidRPr="00D127D7" w14:paraId="407AB533" w14:textId="77777777" w:rsidTr="005411D9">
        <w:tc>
          <w:tcPr>
            <w:tcW w:w="1412" w:type="dxa"/>
          </w:tcPr>
          <w:p w14:paraId="454E494D" w14:textId="322EF8AD" w:rsidR="00E11C0C" w:rsidRDefault="00E11C0C" w:rsidP="0002778B">
            <w:pPr>
              <w:tabs>
                <w:tab w:val="left" w:pos="2126"/>
              </w:tabs>
              <w:spacing w:before="120" w:after="80" w:line="240" w:lineRule="atLeast"/>
              <w:rPr>
                <w:rFonts w:ascii="Arial" w:hAnsi="Arial"/>
                <w:color w:val="005A8C"/>
                <w:sz w:val="18"/>
              </w:rPr>
            </w:pPr>
            <w:r>
              <w:rPr>
                <w:rFonts w:ascii="Arial" w:hAnsi="Arial"/>
                <w:color w:val="005A8C"/>
                <w:sz w:val="18"/>
                <w:lang w:val="en-US"/>
              </w:rPr>
              <w:lastRenderedPageBreak/>
              <w:t>International Initiatives</w:t>
            </w:r>
          </w:p>
        </w:tc>
        <w:tc>
          <w:tcPr>
            <w:tcW w:w="8245" w:type="dxa"/>
            <w:gridSpan w:val="3"/>
          </w:tcPr>
          <w:p w14:paraId="675EF21A" w14:textId="2C0DBF6C" w:rsidR="00E11C0C" w:rsidRPr="003B3BD7" w:rsidRDefault="00E11C0C" w:rsidP="00FB736D">
            <w:pPr>
              <w:tabs>
                <w:tab w:val="left" w:pos="2126"/>
              </w:tabs>
              <w:spacing w:beforeLines="60" w:before="144" w:afterLines="60" w:after="144" w:line="240" w:lineRule="atLeast"/>
              <w:rPr>
                <w:rFonts w:ascii="Arial" w:hAnsi="Arial"/>
                <w:sz w:val="18"/>
                <w:lang w:val="en-US"/>
              </w:rPr>
            </w:pPr>
            <w:r w:rsidRPr="008869FA">
              <w:rPr>
                <w:rFonts w:ascii="Arial" w:hAnsi="Arial"/>
                <w:b/>
                <w:bCs/>
                <w:sz w:val="18"/>
                <w:lang w:val="en-GB"/>
              </w:rPr>
              <w:t>GEO LDN initiative</w:t>
            </w:r>
            <w:r w:rsidR="00FB736D">
              <w:rPr>
                <w:rFonts w:ascii="Arial" w:hAnsi="Arial"/>
                <w:b/>
                <w:bCs/>
                <w:sz w:val="18"/>
                <w:lang w:val="en-GB"/>
              </w:rPr>
              <w:t>:</w:t>
            </w:r>
            <w:r w:rsidR="00FB736D" w:rsidRPr="00FB736D">
              <w:rPr>
                <w:rFonts w:ascii="Arial" w:hAnsi="Arial"/>
                <w:sz w:val="18"/>
                <w:lang w:val="en-US"/>
              </w:rPr>
              <w:t xml:space="preserve"> </w:t>
            </w:r>
            <w:r w:rsidR="00FB736D">
              <w:rPr>
                <w:rFonts w:ascii="Arial" w:hAnsi="Arial"/>
                <w:sz w:val="18"/>
                <w:lang w:val="en-US"/>
              </w:rPr>
              <w:t xml:space="preserve">The GEO Land Degradation Neutrality Initiative </w:t>
            </w:r>
            <w:r w:rsidR="00FB736D" w:rsidRPr="00FB736D">
              <w:rPr>
                <w:rFonts w:ascii="Arial" w:hAnsi="Arial"/>
                <w:sz w:val="18"/>
                <w:lang w:val="en-US"/>
              </w:rPr>
              <w:t>promote</w:t>
            </w:r>
            <w:r w:rsidR="00FB736D">
              <w:rPr>
                <w:rFonts w:ascii="Arial" w:hAnsi="Arial"/>
                <w:sz w:val="18"/>
                <w:lang w:val="en-US"/>
              </w:rPr>
              <w:t>s</w:t>
            </w:r>
            <w:r w:rsidR="00FB736D" w:rsidRPr="00FB736D">
              <w:rPr>
                <w:rFonts w:ascii="Arial" w:hAnsi="Arial"/>
                <w:sz w:val="18"/>
                <w:lang w:val="en-US"/>
              </w:rPr>
              <w:t xml:space="preserve"> the collaborative development, and support the provision and use, of EO datasets, quality standards, analytical tools and capacity building to avoid, reduce, and reverse land degradation with the aim of achieving LDN in all countries by 2030 (SDG 15.3)</w:t>
            </w:r>
            <w:r w:rsidRPr="008869FA">
              <w:rPr>
                <w:rFonts w:ascii="Arial" w:hAnsi="Arial"/>
                <w:sz w:val="18"/>
                <w:lang w:val="en-GB"/>
              </w:rPr>
              <w:t>.</w:t>
            </w:r>
            <w:r w:rsidR="00FB736D">
              <w:rPr>
                <w:rFonts w:ascii="Arial" w:hAnsi="Arial"/>
                <w:sz w:val="18"/>
                <w:lang w:val="en-GB"/>
              </w:rPr>
              <w:t xml:space="preserve"> </w:t>
            </w:r>
            <w:r w:rsidR="00FB736D" w:rsidRPr="00FB736D">
              <w:rPr>
                <w:rFonts w:ascii="Arial" w:hAnsi="Arial"/>
                <w:sz w:val="18"/>
                <w:lang w:val="en-US"/>
              </w:rPr>
              <w:t>The Initiative will help connect data providers to data users, including researchers, decision-makers, land use planners, commercial sector, donors/investors and other stakeholders in order to optimize the use of EO datasets for LDN assessment, planning, implementation, monitoring and reporting.</w:t>
            </w:r>
          </w:p>
        </w:tc>
      </w:tr>
      <w:tr w:rsidR="00FB2842" w:rsidRPr="00D127D7" w14:paraId="133BF8E3" w14:textId="77777777" w:rsidTr="0002778B">
        <w:tc>
          <w:tcPr>
            <w:tcW w:w="9657" w:type="dxa"/>
            <w:gridSpan w:val="4"/>
            <w:shd w:val="clear" w:color="auto" w:fill="D9D9D9"/>
          </w:tcPr>
          <w:p w14:paraId="41B68C95" w14:textId="77777777" w:rsidR="00FB2842" w:rsidRPr="00D127D7" w:rsidRDefault="00FB2842" w:rsidP="0002778B">
            <w:pPr>
              <w:tabs>
                <w:tab w:val="left" w:pos="2126"/>
              </w:tabs>
              <w:spacing w:before="120" w:after="80" w:line="240" w:lineRule="atLeast"/>
              <w:rPr>
                <w:rFonts w:ascii="Arial" w:hAnsi="Arial"/>
                <w:b/>
                <w:i/>
                <w:color w:val="005A8C"/>
                <w:sz w:val="18"/>
                <w:lang w:val="en-GB"/>
              </w:rPr>
            </w:pPr>
            <w:r w:rsidRPr="00D127D7">
              <w:rPr>
                <w:rFonts w:ascii="Arial" w:hAnsi="Arial"/>
                <w:b/>
                <w:color w:val="005A8C"/>
                <w:sz w:val="18"/>
                <w:lang w:val="en-GB"/>
              </w:rPr>
              <w:t>Proposed Methodology</w:t>
            </w:r>
          </w:p>
        </w:tc>
      </w:tr>
      <w:tr w:rsidR="00FB2842" w:rsidRPr="00D127D7" w14:paraId="0593BF4B" w14:textId="77777777" w:rsidTr="005411D9">
        <w:tc>
          <w:tcPr>
            <w:tcW w:w="1412" w:type="dxa"/>
          </w:tcPr>
          <w:p w14:paraId="7EC7DE40" w14:textId="2F14B4C9" w:rsidR="00FB2842" w:rsidRPr="00D127D7" w:rsidRDefault="009354EB" w:rsidP="0002778B">
            <w:pPr>
              <w:tabs>
                <w:tab w:val="left" w:pos="2126"/>
              </w:tabs>
              <w:spacing w:before="120" w:after="80" w:line="240" w:lineRule="atLeast"/>
              <w:rPr>
                <w:rFonts w:ascii="Arial" w:hAnsi="Arial"/>
                <w:color w:val="005A8C"/>
                <w:sz w:val="18"/>
                <w:lang w:val="en-GB"/>
              </w:rPr>
            </w:pPr>
            <w:r w:rsidRPr="00D127D7">
              <w:rPr>
                <w:rFonts w:ascii="Arial" w:hAnsi="Arial"/>
                <w:color w:val="005A8C"/>
                <w:sz w:val="18"/>
                <w:lang w:val="en-GB"/>
              </w:rPr>
              <w:t>Step-by</w:t>
            </w:r>
            <w:r w:rsidR="00337048" w:rsidRPr="00D127D7">
              <w:rPr>
                <w:rFonts w:ascii="Arial" w:hAnsi="Arial"/>
                <w:color w:val="005A8C"/>
                <w:sz w:val="18"/>
                <w:lang w:val="en-GB"/>
              </w:rPr>
              <w:t xml:space="preserve">-Step guide for EO integration into SDG </w:t>
            </w:r>
            <w:r w:rsidR="00531C2D" w:rsidRPr="00D127D7">
              <w:rPr>
                <w:rFonts w:ascii="Arial" w:hAnsi="Arial"/>
                <w:color w:val="005A8C"/>
                <w:sz w:val="18"/>
                <w:lang w:val="en-GB"/>
              </w:rPr>
              <w:t xml:space="preserve">indicator </w:t>
            </w:r>
            <w:r w:rsidR="00337048" w:rsidRPr="00D127D7">
              <w:rPr>
                <w:rFonts w:ascii="Arial" w:hAnsi="Arial"/>
                <w:color w:val="005A8C"/>
                <w:sz w:val="18"/>
                <w:lang w:val="en-GB"/>
              </w:rPr>
              <w:t>framework</w:t>
            </w:r>
          </w:p>
        </w:tc>
        <w:tc>
          <w:tcPr>
            <w:tcW w:w="8245" w:type="dxa"/>
            <w:gridSpan w:val="3"/>
          </w:tcPr>
          <w:p w14:paraId="3EEC2190" w14:textId="77777777" w:rsidR="00924116" w:rsidRPr="00D127D7" w:rsidRDefault="00E86923" w:rsidP="001371D9">
            <w:pPr>
              <w:pStyle w:val="ListParagraph"/>
              <w:numPr>
                <w:ilvl w:val="0"/>
                <w:numId w:val="16"/>
              </w:numPr>
              <w:tabs>
                <w:tab w:val="left" w:pos="2126"/>
              </w:tabs>
              <w:spacing w:before="120" w:line="240" w:lineRule="atLeast"/>
              <w:rPr>
                <w:rFonts w:ascii="Arial" w:hAnsi="Arial" w:cs="Arial"/>
                <w:sz w:val="18"/>
                <w:szCs w:val="18"/>
                <w:lang w:val="en-GB"/>
              </w:rPr>
            </w:pPr>
            <w:r w:rsidRPr="00D127D7">
              <w:rPr>
                <w:rFonts w:ascii="Arial" w:hAnsi="Arial" w:cs="Arial"/>
                <w:sz w:val="18"/>
                <w:szCs w:val="18"/>
                <w:lang w:val="en-GB"/>
              </w:rPr>
              <w:t xml:space="preserve">The GPG (Version 1.0, 2017) already outlines the current approach in detail and explicitly states how EO can be incorporated into the reporting framework. </w:t>
            </w:r>
          </w:p>
          <w:p w14:paraId="1FB48A43" w14:textId="35C2AA16" w:rsidR="001C1069" w:rsidRDefault="00E810BA">
            <w:pPr>
              <w:pStyle w:val="ListParagraph"/>
              <w:numPr>
                <w:ilvl w:val="0"/>
                <w:numId w:val="16"/>
              </w:numPr>
              <w:tabs>
                <w:tab w:val="left" w:pos="2126"/>
              </w:tabs>
              <w:spacing w:before="120" w:line="240" w:lineRule="atLeast"/>
              <w:rPr>
                <w:rFonts w:ascii="Arial" w:hAnsi="Arial" w:cs="Arial"/>
                <w:sz w:val="18"/>
                <w:szCs w:val="18"/>
                <w:lang w:val="en-GB"/>
              </w:rPr>
            </w:pPr>
            <w:r w:rsidRPr="00D127D7">
              <w:rPr>
                <w:rFonts w:ascii="Arial" w:hAnsi="Arial" w:cs="Arial"/>
                <w:sz w:val="18"/>
                <w:szCs w:val="18"/>
                <w:lang w:val="en-GB"/>
              </w:rPr>
              <w:t xml:space="preserve">Further information regarding the methodology </w:t>
            </w:r>
            <w:r w:rsidR="00EA5BDE">
              <w:rPr>
                <w:rFonts w:ascii="Arial" w:hAnsi="Arial" w:cs="Arial"/>
                <w:sz w:val="18"/>
                <w:szCs w:val="18"/>
                <w:lang w:val="en-GB"/>
              </w:rPr>
              <w:t>is</w:t>
            </w:r>
            <w:r w:rsidR="00EA5BDE" w:rsidRPr="00D127D7">
              <w:rPr>
                <w:rFonts w:ascii="Arial" w:hAnsi="Arial" w:cs="Arial"/>
                <w:sz w:val="18"/>
                <w:szCs w:val="18"/>
                <w:lang w:val="en-GB"/>
              </w:rPr>
              <w:t xml:space="preserve"> </w:t>
            </w:r>
            <w:r w:rsidRPr="00D127D7">
              <w:rPr>
                <w:rFonts w:ascii="Arial" w:hAnsi="Arial" w:cs="Arial"/>
                <w:sz w:val="18"/>
                <w:szCs w:val="18"/>
                <w:lang w:val="en-GB"/>
              </w:rPr>
              <w:t xml:space="preserve">outlined in </w:t>
            </w:r>
            <w:hyperlink r:id="rId25" w:history="1">
              <w:r w:rsidR="001371D9" w:rsidRPr="00D127D7">
                <w:rPr>
                  <w:rStyle w:val="Hyperlink"/>
                  <w:rFonts w:ascii="Arial" w:hAnsi="Arial" w:cs="Arial"/>
                  <w:sz w:val="18"/>
                  <w:szCs w:val="18"/>
                  <w:lang w:val="en-GB"/>
                </w:rPr>
                <w:t>Reporting manual for the 2017-2018 UNCCD reporting process</w:t>
              </w:r>
            </w:hyperlink>
            <w:r w:rsidR="001371D9" w:rsidRPr="00D127D7">
              <w:rPr>
                <w:rFonts w:ascii="Arial" w:hAnsi="Arial" w:cs="Arial"/>
                <w:sz w:val="18"/>
                <w:szCs w:val="18"/>
                <w:lang w:val="en-GB"/>
              </w:rPr>
              <w:t xml:space="preserve">. </w:t>
            </w:r>
          </w:p>
          <w:p w14:paraId="5F52D7F6" w14:textId="2B50BD4E" w:rsidR="00107993" w:rsidRDefault="00107993" w:rsidP="00107993">
            <w:pPr>
              <w:pStyle w:val="ListParagraph"/>
              <w:numPr>
                <w:ilvl w:val="0"/>
                <w:numId w:val="16"/>
              </w:numPr>
              <w:tabs>
                <w:tab w:val="left" w:pos="2126"/>
              </w:tabs>
              <w:spacing w:before="120" w:line="240" w:lineRule="atLeast"/>
              <w:rPr>
                <w:rFonts w:ascii="Arial" w:hAnsi="Arial" w:cs="Arial"/>
                <w:sz w:val="18"/>
                <w:szCs w:val="18"/>
                <w:lang w:val="en-GB"/>
              </w:rPr>
            </w:pPr>
            <w:r>
              <w:rPr>
                <w:rFonts w:ascii="Arial" w:hAnsi="Arial" w:cs="Arial"/>
                <w:sz w:val="18"/>
                <w:szCs w:val="18"/>
                <w:lang w:val="en-GB"/>
              </w:rPr>
              <w:t xml:space="preserve">A guidance document to </w:t>
            </w:r>
            <w:r w:rsidRPr="00107993">
              <w:rPr>
                <w:rFonts w:ascii="Arial" w:hAnsi="Arial" w:cs="Arial"/>
                <w:sz w:val="18"/>
                <w:szCs w:val="18"/>
                <w:lang w:val="en-GB"/>
              </w:rPr>
              <w:t xml:space="preserve">assist Parties to the </w:t>
            </w:r>
            <w:r>
              <w:rPr>
                <w:rFonts w:ascii="Arial" w:hAnsi="Arial" w:cs="Arial"/>
                <w:sz w:val="18"/>
                <w:szCs w:val="18"/>
                <w:lang w:val="en-GB"/>
              </w:rPr>
              <w:t>UNCCD</w:t>
            </w:r>
            <w:r w:rsidRPr="00107993">
              <w:rPr>
                <w:rFonts w:ascii="Arial" w:hAnsi="Arial" w:cs="Arial"/>
                <w:sz w:val="18"/>
                <w:szCs w:val="18"/>
                <w:lang w:val="en-GB"/>
              </w:rPr>
              <w:t xml:space="preserve"> in preparing their national reports for the 2018 reporting process</w:t>
            </w:r>
            <w:r>
              <w:rPr>
                <w:rFonts w:ascii="Arial" w:hAnsi="Arial" w:cs="Arial"/>
                <w:sz w:val="18"/>
                <w:szCs w:val="18"/>
                <w:lang w:val="en-GB"/>
              </w:rPr>
              <w:t xml:space="preserve"> is available: </w:t>
            </w:r>
            <w:hyperlink r:id="rId26" w:history="1">
              <w:r w:rsidRPr="00867623">
                <w:rPr>
                  <w:rStyle w:val="Hyperlink"/>
                  <w:rFonts w:ascii="Arial" w:hAnsi="Arial" w:cs="Arial"/>
                  <w:sz w:val="18"/>
                  <w:szCs w:val="18"/>
                  <w:lang w:val="en-GB"/>
                </w:rPr>
                <w:t>https://prais.unccd.int/sites/default/files/helper_documents/3-DD_guidance_EN.pdf</w:t>
              </w:r>
            </w:hyperlink>
          </w:p>
          <w:p w14:paraId="54A62985" w14:textId="58E18908" w:rsidR="00107993" w:rsidRPr="00D127D7" w:rsidRDefault="00107993" w:rsidP="00107993">
            <w:pPr>
              <w:pStyle w:val="ListParagraph"/>
              <w:tabs>
                <w:tab w:val="left" w:pos="2126"/>
              </w:tabs>
              <w:spacing w:before="120" w:line="240" w:lineRule="atLeast"/>
              <w:rPr>
                <w:rFonts w:ascii="Arial" w:hAnsi="Arial" w:cs="Arial"/>
                <w:sz w:val="18"/>
                <w:szCs w:val="18"/>
                <w:lang w:val="en-GB"/>
              </w:rPr>
            </w:pPr>
          </w:p>
        </w:tc>
      </w:tr>
      <w:tr w:rsidR="00FB2842" w:rsidRPr="00D127D7" w14:paraId="29FF5465" w14:textId="77777777" w:rsidTr="0002778B">
        <w:tc>
          <w:tcPr>
            <w:tcW w:w="9657" w:type="dxa"/>
            <w:gridSpan w:val="4"/>
            <w:shd w:val="clear" w:color="auto" w:fill="D9D9D9"/>
          </w:tcPr>
          <w:p w14:paraId="58E6D17C" w14:textId="3D5B3D4B" w:rsidR="00FB2842" w:rsidRPr="00D127D7" w:rsidRDefault="0087662D" w:rsidP="00852787">
            <w:pPr>
              <w:tabs>
                <w:tab w:val="left" w:pos="2126"/>
              </w:tabs>
              <w:spacing w:before="120" w:after="80" w:line="240" w:lineRule="atLeast"/>
              <w:jc w:val="both"/>
              <w:rPr>
                <w:rFonts w:ascii="Arial" w:hAnsi="Arial"/>
                <w:b/>
                <w:i/>
                <w:color w:val="005A8C"/>
                <w:sz w:val="18"/>
                <w:lang w:val="en-GB"/>
              </w:rPr>
            </w:pPr>
            <w:bookmarkStart w:id="2" w:name="_Hlk16147076"/>
            <w:r w:rsidRPr="00D127D7">
              <w:rPr>
                <w:rFonts w:ascii="Arial" w:hAnsi="Arial"/>
                <w:b/>
                <w:color w:val="005A8C"/>
                <w:sz w:val="18"/>
                <w:lang w:val="en-GB"/>
              </w:rPr>
              <w:t>Recommendations for implementation</w:t>
            </w:r>
            <w:bookmarkEnd w:id="2"/>
          </w:p>
        </w:tc>
      </w:tr>
      <w:tr w:rsidR="00FB2842" w:rsidRPr="00D127D7" w14:paraId="3E3D0AC2" w14:textId="77777777" w:rsidTr="005411D9">
        <w:tc>
          <w:tcPr>
            <w:tcW w:w="1412" w:type="dxa"/>
          </w:tcPr>
          <w:p w14:paraId="43557212" w14:textId="77777777" w:rsidR="00FB2842" w:rsidRPr="00D127D7" w:rsidRDefault="00FB2842" w:rsidP="00D02F16">
            <w:pPr>
              <w:tabs>
                <w:tab w:val="left" w:pos="2126"/>
              </w:tabs>
              <w:spacing w:before="120" w:line="240" w:lineRule="atLeast"/>
              <w:rPr>
                <w:rFonts w:ascii="Arial" w:hAnsi="Arial" w:cs="Arial"/>
                <w:sz w:val="18"/>
                <w:szCs w:val="18"/>
                <w:lang w:val="en-GB"/>
              </w:rPr>
            </w:pPr>
            <w:r w:rsidRPr="00950B6F">
              <w:rPr>
                <w:rFonts w:ascii="Arial" w:hAnsi="Arial"/>
                <w:color w:val="005A8C"/>
                <w:sz w:val="18"/>
                <w:lang w:val="en-GB"/>
              </w:rPr>
              <w:t>Activities</w:t>
            </w:r>
          </w:p>
        </w:tc>
        <w:tc>
          <w:tcPr>
            <w:tcW w:w="8245" w:type="dxa"/>
            <w:gridSpan w:val="3"/>
          </w:tcPr>
          <w:p w14:paraId="6ADB76C0" w14:textId="77777777" w:rsidR="00601555" w:rsidRDefault="00601555" w:rsidP="00601555">
            <w:pPr>
              <w:tabs>
                <w:tab w:val="left" w:pos="2126"/>
              </w:tabs>
              <w:spacing w:beforeLines="60" w:before="144" w:afterLines="60" w:after="144" w:line="240" w:lineRule="atLeast"/>
              <w:rPr>
                <w:rFonts w:ascii="Arial" w:hAnsi="Arial" w:cs="Arial"/>
                <w:sz w:val="18"/>
                <w:szCs w:val="18"/>
                <w:lang w:val="en-US"/>
              </w:rPr>
            </w:pPr>
            <w:r>
              <w:rPr>
                <w:rFonts w:ascii="Arial" w:hAnsi="Arial" w:cs="Arial"/>
                <w:i/>
                <w:sz w:val="18"/>
                <w:szCs w:val="18"/>
                <w:lang w:val="en-US"/>
              </w:rPr>
              <w:t>Tentative, not necessarily in sequential order</w:t>
            </w:r>
          </w:p>
          <w:p w14:paraId="55C4E5F5" w14:textId="3CDD7D4E" w:rsidR="00DF6300" w:rsidRDefault="00E11C0C" w:rsidP="00EC53CB">
            <w:pPr>
              <w:pStyle w:val="ListParagraph"/>
              <w:numPr>
                <w:ilvl w:val="0"/>
                <w:numId w:val="16"/>
              </w:numPr>
              <w:tabs>
                <w:tab w:val="left" w:pos="2126"/>
              </w:tabs>
              <w:spacing w:before="120" w:line="240" w:lineRule="atLeast"/>
              <w:rPr>
                <w:rFonts w:ascii="Arial" w:hAnsi="Arial" w:cs="Arial"/>
                <w:sz w:val="18"/>
                <w:szCs w:val="18"/>
                <w:lang w:val="en-GB"/>
              </w:rPr>
            </w:pPr>
            <w:r>
              <w:rPr>
                <w:rFonts w:ascii="Arial" w:hAnsi="Arial" w:cs="Arial"/>
                <w:sz w:val="18"/>
                <w:szCs w:val="18"/>
                <w:lang w:val="en-GB"/>
              </w:rPr>
              <w:t xml:space="preserve">Consistent time series of HR optical satellite imagery is an issue in cloud-prone areas, hampering the delineation of productivity proxies like the start of the season and the end of the season as well as the delineation of land cover changes. A systematic approach should be developed to overcome this issue.  </w:t>
            </w:r>
          </w:p>
          <w:p w14:paraId="5E9D60BE" w14:textId="11EA2A48" w:rsidR="00E11C0C" w:rsidRDefault="00E11C0C" w:rsidP="00EC53CB">
            <w:pPr>
              <w:pStyle w:val="ListParagraph"/>
              <w:numPr>
                <w:ilvl w:val="0"/>
                <w:numId w:val="16"/>
              </w:numPr>
              <w:tabs>
                <w:tab w:val="left" w:pos="2126"/>
              </w:tabs>
              <w:spacing w:before="120" w:line="240" w:lineRule="atLeast"/>
              <w:rPr>
                <w:rFonts w:ascii="Arial" w:hAnsi="Arial" w:cs="Arial"/>
                <w:sz w:val="18"/>
                <w:szCs w:val="18"/>
                <w:lang w:val="en-GB"/>
              </w:rPr>
            </w:pPr>
            <w:r w:rsidRPr="00E11C0C">
              <w:rPr>
                <w:rFonts w:ascii="Arial" w:hAnsi="Arial" w:cs="Arial"/>
                <w:sz w:val="18"/>
                <w:szCs w:val="18"/>
                <w:lang w:val="en-GB"/>
              </w:rPr>
              <w:t>Precipitation-data is only available in a very low resolution</w:t>
            </w:r>
            <w:r>
              <w:rPr>
                <w:rFonts w:ascii="Arial" w:hAnsi="Arial" w:cs="Arial"/>
                <w:sz w:val="18"/>
                <w:szCs w:val="18"/>
                <w:lang w:val="en-GB"/>
              </w:rPr>
              <w:t xml:space="preserve"> for detrending the productivity data</w:t>
            </w:r>
          </w:p>
          <w:p w14:paraId="4005EC0A" w14:textId="0FF36AA7" w:rsidR="00E11C0C" w:rsidRPr="00D127D7" w:rsidRDefault="00E11C0C" w:rsidP="00EC53CB">
            <w:pPr>
              <w:pStyle w:val="ListParagraph"/>
              <w:numPr>
                <w:ilvl w:val="0"/>
                <w:numId w:val="16"/>
              </w:numPr>
              <w:tabs>
                <w:tab w:val="left" w:pos="2126"/>
              </w:tabs>
              <w:spacing w:before="120" w:line="240" w:lineRule="atLeast"/>
              <w:rPr>
                <w:rFonts w:ascii="Arial" w:hAnsi="Arial" w:cs="Arial"/>
                <w:sz w:val="18"/>
                <w:szCs w:val="18"/>
                <w:lang w:val="en-GB"/>
              </w:rPr>
            </w:pPr>
            <w:r>
              <w:rPr>
                <w:rFonts w:ascii="Arial" w:hAnsi="Arial" w:cs="Arial"/>
                <w:sz w:val="18"/>
                <w:szCs w:val="18"/>
                <w:lang w:val="en-GB"/>
              </w:rPr>
              <w:t xml:space="preserve">Sentinel-2 data is only available on a short time series (2016 to present) prohibiting the use for trend analysis. </w:t>
            </w:r>
          </w:p>
        </w:tc>
      </w:tr>
      <w:tr w:rsidR="00FB2842" w:rsidRPr="00D127D7" w14:paraId="4D3F61F8" w14:textId="77777777" w:rsidTr="003B3BD7">
        <w:trPr>
          <w:trHeight w:val="1345"/>
        </w:trPr>
        <w:tc>
          <w:tcPr>
            <w:tcW w:w="1412" w:type="dxa"/>
          </w:tcPr>
          <w:p w14:paraId="46D2871F" w14:textId="0D0378CB" w:rsidR="00FB2842" w:rsidRPr="00D127D7" w:rsidRDefault="00FB2842" w:rsidP="00D02F16">
            <w:pPr>
              <w:tabs>
                <w:tab w:val="left" w:pos="2126"/>
              </w:tabs>
              <w:spacing w:before="120" w:line="240" w:lineRule="atLeast"/>
              <w:rPr>
                <w:rFonts w:ascii="Arial" w:hAnsi="Arial" w:cs="Arial"/>
                <w:sz w:val="18"/>
                <w:szCs w:val="18"/>
                <w:lang w:val="en-GB"/>
              </w:rPr>
            </w:pPr>
            <w:r w:rsidRPr="00950B6F">
              <w:rPr>
                <w:rFonts w:ascii="Arial" w:hAnsi="Arial"/>
                <w:color w:val="005A8C"/>
                <w:sz w:val="18"/>
                <w:lang w:val="en-GB"/>
              </w:rPr>
              <w:t>Timeframe</w:t>
            </w:r>
          </w:p>
        </w:tc>
        <w:tc>
          <w:tcPr>
            <w:tcW w:w="8245" w:type="dxa"/>
            <w:gridSpan w:val="3"/>
          </w:tcPr>
          <w:p w14:paraId="06588B68" w14:textId="77777777" w:rsidR="002C1FB9" w:rsidRDefault="002C1FB9" w:rsidP="002C1FB9">
            <w:pPr>
              <w:tabs>
                <w:tab w:val="left" w:pos="2126"/>
              </w:tabs>
              <w:spacing w:beforeLines="60" w:before="144" w:afterLines="60" w:after="144" w:line="240" w:lineRule="atLeast"/>
              <w:rPr>
                <w:rFonts w:ascii="Arial" w:hAnsi="Arial" w:cs="Arial"/>
                <w:b/>
                <w:sz w:val="18"/>
                <w:szCs w:val="18"/>
                <w:lang w:val="en-US"/>
              </w:rPr>
            </w:pPr>
            <w:r>
              <w:rPr>
                <w:rFonts w:ascii="Arial" w:hAnsi="Arial" w:cs="Arial"/>
                <w:b/>
                <w:sz w:val="18"/>
                <w:szCs w:val="18"/>
                <w:lang w:val="en-US"/>
              </w:rPr>
              <w:t>Current indicator timeframe considerations:</w:t>
            </w:r>
          </w:p>
          <w:p w14:paraId="15969784" w14:textId="5E649220" w:rsidR="002C1FB9" w:rsidRPr="002C1FB9" w:rsidRDefault="002C1FB9" w:rsidP="003B3BD7">
            <w:pPr>
              <w:pStyle w:val="ListParagraph"/>
              <w:numPr>
                <w:ilvl w:val="0"/>
                <w:numId w:val="16"/>
              </w:numPr>
              <w:tabs>
                <w:tab w:val="left" w:pos="2126"/>
              </w:tabs>
              <w:spacing w:beforeLines="60" w:before="144" w:afterLines="60" w:after="144" w:line="240" w:lineRule="atLeast"/>
              <w:rPr>
                <w:lang w:val="en-GB"/>
              </w:rPr>
            </w:pPr>
            <w:r>
              <w:rPr>
                <w:rFonts w:ascii="Arial" w:hAnsi="Arial" w:cs="Arial"/>
                <w:sz w:val="18"/>
                <w:szCs w:val="18"/>
                <w:lang w:val="en-US"/>
              </w:rPr>
              <w:t>According to the latest metadata It is anticipated that countries can report consistently after 2-3 years (relative to 2018) and hereafter repeated regularly in 4-year intervals, allowing for three reporting points until the year 2030.</w:t>
            </w:r>
            <w:r w:rsidR="00D655FD" w:rsidRPr="002C1FB9">
              <w:rPr>
                <w:rFonts w:ascii="Arial" w:hAnsi="Arial" w:cs="Arial"/>
                <w:sz w:val="18"/>
                <w:szCs w:val="18"/>
                <w:lang w:val="en-GB"/>
              </w:rPr>
              <w:t xml:space="preserve"> </w:t>
            </w:r>
          </w:p>
        </w:tc>
      </w:tr>
      <w:tr w:rsidR="00FB2842" w:rsidRPr="00BE2F64" w14:paraId="1ACFD99A" w14:textId="77777777" w:rsidTr="005411D9">
        <w:tc>
          <w:tcPr>
            <w:tcW w:w="1412" w:type="dxa"/>
            <w:shd w:val="clear" w:color="auto" w:fill="D9D9D9"/>
          </w:tcPr>
          <w:p w14:paraId="383C3C97" w14:textId="16AE428A" w:rsidR="00FB2842" w:rsidRPr="00D127D7" w:rsidRDefault="00FB2842" w:rsidP="00D02F16">
            <w:pPr>
              <w:tabs>
                <w:tab w:val="left" w:pos="2126"/>
              </w:tabs>
              <w:spacing w:before="120" w:line="240" w:lineRule="atLeast"/>
              <w:rPr>
                <w:rFonts w:ascii="Arial" w:hAnsi="Arial"/>
                <w:b/>
                <w:color w:val="005A8C"/>
                <w:sz w:val="18"/>
                <w:lang w:val="en-GB"/>
              </w:rPr>
            </w:pPr>
            <w:r w:rsidRPr="00D127D7">
              <w:rPr>
                <w:rFonts w:ascii="Arial" w:hAnsi="Arial"/>
                <w:b/>
                <w:color w:val="005A8C"/>
                <w:sz w:val="18"/>
                <w:lang w:val="en-GB"/>
              </w:rPr>
              <w:t>References</w:t>
            </w:r>
          </w:p>
        </w:tc>
        <w:tc>
          <w:tcPr>
            <w:tcW w:w="8245" w:type="dxa"/>
            <w:gridSpan w:val="3"/>
          </w:tcPr>
          <w:p w14:paraId="742070FF" w14:textId="77777777" w:rsidR="00747C48" w:rsidRPr="00D127D7" w:rsidRDefault="00747C48" w:rsidP="00747C48">
            <w:pPr>
              <w:tabs>
                <w:tab w:val="left" w:pos="2126"/>
              </w:tabs>
              <w:spacing w:before="120" w:line="240" w:lineRule="atLeast"/>
              <w:rPr>
                <w:rFonts w:ascii="Arial" w:hAnsi="Arial" w:cs="Arial"/>
                <w:b/>
                <w:sz w:val="18"/>
                <w:szCs w:val="18"/>
                <w:lang w:val="en-GB"/>
              </w:rPr>
            </w:pPr>
            <w:r w:rsidRPr="00D127D7">
              <w:rPr>
                <w:rFonts w:ascii="Arial" w:hAnsi="Arial" w:cs="Arial"/>
                <w:b/>
                <w:sz w:val="18"/>
                <w:szCs w:val="18"/>
                <w:lang w:val="en-GB"/>
              </w:rPr>
              <w:t>Indicator background</w:t>
            </w:r>
          </w:p>
          <w:p w14:paraId="5ACBA489" w14:textId="5E5F2FFD" w:rsidR="009B61D0" w:rsidRPr="00D127D7" w:rsidRDefault="00F01F05" w:rsidP="00BE2F64">
            <w:pPr>
              <w:pStyle w:val="ListParagraph"/>
              <w:numPr>
                <w:ilvl w:val="0"/>
                <w:numId w:val="16"/>
              </w:numPr>
              <w:tabs>
                <w:tab w:val="left" w:pos="2126"/>
              </w:tabs>
              <w:spacing w:before="120" w:after="240"/>
              <w:rPr>
                <w:rFonts w:ascii="Arial" w:hAnsi="Arial" w:cs="Arial"/>
                <w:sz w:val="18"/>
                <w:szCs w:val="18"/>
                <w:lang w:val="en-GB"/>
              </w:rPr>
            </w:pPr>
            <w:r w:rsidRPr="00D127D7">
              <w:rPr>
                <w:rFonts w:ascii="Arial" w:hAnsi="Arial" w:cs="Arial"/>
                <w:sz w:val="18"/>
                <w:szCs w:val="18"/>
                <w:lang w:val="en-GB"/>
              </w:rPr>
              <w:t>15.3.1:</w:t>
            </w:r>
            <w:r w:rsidR="00FD6B51" w:rsidRPr="00D127D7">
              <w:rPr>
                <w:rFonts w:ascii="Arial" w:hAnsi="Arial" w:cs="Arial"/>
                <w:sz w:val="18"/>
                <w:szCs w:val="18"/>
                <w:lang w:val="en-GB"/>
              </w:rPr>
              <w:t xml:space="preserve"> four main documents: 1. Glossary; 2. Manual; 3. </w:t>
            </w:r>
            <w:proofErr w:type="spellStart"/>
            <w:r w:rsidR="00FD6B51" w:rsidRPr="00D127D7">
              <w:rPr>
                <w:rFonts w:ascii="Arial" w:hAnsi="Arial" w:cs="Arial"/>
                <w:sz w:val="18"/>
                <w:szCs w:val="18"/>
                <w:lang w:val="en-GB"/>
              </w:rPr>
              <w:t>DD_Guidance</w:t>
            </w:r>
            <w:proofErr w:type="spellEnd"/>
            <w:r w:rsidR="00FD6B51" w:rsidRPr="00D127D7">
              <w:rPr>
                <w:rFonts w:ascii="Arial" w:hAnsi="Arial" w:cs="Arial"/>
                <w:sz w:val="18"/>
                <w:szCs w:val="18"/>
                <w:lang w:val="en-GB"/>
              </w:rPr>
              <w:t xml:space="preserve"> (technical note on use and interpretation of default data made available to parties); 4. </w:t>
            </w:r>
            <w:r w:rsidR="009B61D0" w:rsidRPr="00D127D7">
              <w:rPr>
                <w:rFonts w:ascii="Arial" w:hAnsi="Arial" w:cs="Arial"/>
                <w:sz w:val="18"/>
                <w:szCs w:val="18"/>
                <w:lang w:val="en-GB"/>
              </w:rPr>
              <w:t>Good Practice Guidance</w:t>
            </w:r>
            <w:r w:rsidR="00FD6B51" w:rsidRPr="00D127D7">
              <w:rPr>
                <w:rFonts w:ascii="Arial" w:hAnsi="Arial" w:cs="Arial"/>
                <w:sz w:val="18"/>
                <w:szCs w:val="18"/>
                <w:lang w:val="en-GB"/>
              </w:rPr>
              <w:t xml:space="preserve"> </w:t>
            </w:r>
            <w:r w:rsidR="00FD6B51" w:rsidRPr="00D127D7">
              <w:rPr>
                <w:rFonts w:ascii="Arial" w:hAnsi="Arial" w:cs="Arial"/>
                <w:sz w:val="18"/>
                <w:szCs w:val="18"/>
                <w:lang w:val="en-GB"/>
              </w:rPr>
              <w:lastRenderedPageBreak/>
              <w:t>(on methods to assess the three land-based indicators). All available at:</w:t>
            </w:r>
            <w:r w:rsidR="009B61D0" w:rsidRPr="00D127D7">
              <w:rPr>
                <w:rFonts w:ascii="Arial" w:hAnsi="Arial" w:cs="Arial"/>
                <w:sz w:val="18"/>
                <w:szCs w:val="18"/>
                <w:lang w:val="en-GB"/>
              </w:rPr>
              <w:t xml:space="preserve"> </w:t>
            </w:r>
            <w:hyperlink r:id="rId27" w:history="1">
              <w:r w:rsidR="009B61D0" w:rsidRPr="00D127D7">
                <w:rPr>
                  <w:rStyle w:val="Hyperlink"/>
                  <w:rFonts w:ascii="Arial" w:hAnsi="Arial" w:cs="Arial"/>
                  <w:sz w:val="18"/>
                  <w:szCs w:val="18"/>
                  <w:lang w:val="en-GB"/>
                </w:rPr>
                <w:t>https://prais.unccd.int/node/7</w:t>
              </w:r>
            </w:hyperlink>
            <w:r w:rsidR="009B61D0" w:rsidRPr="00D127D7">
              <w:rPr>
                <w:rFonts w:ascii="Arial" w:hAnsi="Arial" w:cs="Arial"/>
                <w:sz w:val="18"/>
                <w:szCs w:val="18"/>
                <w:lang w:val="en-GB"/>
              </w:rPr>
              <w:t xml:space="preserve"> </w:t>
            </w:r>
          </w:p>
          <w:p w14:paraId="6FC73F17" w14:textId="77777777" w:rsidR="002B3A32" w:rsidRPr="00D127D7" w:rsidRDefault="002B3A32" w:rsidP="00BE2F64">
            <w:pPr>
              <w:pStyle w:val="ListParagraph"/>
              <w:numPr>
                <w:ilvl w:val="0"/>
                <w:numId w:val="16"/>
              </w:numPr>
              <w:tabs>
                <w:tab w:val="left" w:pos="2126"/>
              </w:tabs>
              <w:spacing w:before="120" w:after="240" w:line="240" w:lineRule="atLeast"/>
              <w:rPr>
                <w:rFonts w:ascii="Arial" w:hAnsi="Arial" w:cs="Arial"/>
                <w:sz w:val="18"/>
                <w:szCs w:val="18"/>
                <w:lang w:val="en-GB"/>
              </w:rPr>
            </w:pPr>
            <w:r w:rsidRPr="00D127D7">
              <w:rPr>
                <w:rFonts w:ascii="Arial" w:hAnsi="Arial" w:cs="Arial"/>
                <w:sz w:val="18"/>
                <w:szCs w:val="18"/>
                <w:lang w:val="en-GB"/>
              </w:rPr>
              <w:t xml:space="preserve">15.3.1 PRAIS3 reporting platform </w:t>
            </w:r>
            <w:hyperlink r:id="rId28" w:history="1">
              <w:r w:rsidRPr="00D127D7">
                <w:rPr>
                  <w:rStyle w:val="Hyperlink"/>
                  <w:rFonts w:ascii="Arial" w:hAnsi="Arial" w:cs="Arial"/>
                  <w:sz w:val="18"/>
                  <w:szCs w:val="18"/>
                  <w:lang w:val="en-GB"/>
                </w:rPr>
                <w:t>https://prais.unccd.int</w:t>
              </w:r>
            </w:hyperlink>
            <w:r w:rsidRPr="00D127D7">
              <w:rPr>
                <w:rFonts w:ascii="Arial" w:hAnsi="Arial" w:cs="Arial"/>
                <w:sz w:val="18"/>
                <w:szCs w:val="18"/>
                <w:lang w:val="en-GB"/>
              </w:rPr>
              <w:t xml:space="preserve"> </w:t>
            </w:r>
          </w:p>
          <w:p w14:paraId="0F126C4E" w14:textId="6E66EB6D" w:rsidR="001C5B12" w:rsidRPr="00D127D7" w:rsidRDefault="001C5B12" w:rsidP="00BE2F64">
            <w:pPr>
              <w:pStyle w:val="ListParagraph"/>
              <w:numPr>
                <w:ilvl w:val="0"/>
                <w:numId w:val="16"/>
              </w:numPr>
              <w:tabs>
                <w:tab w:val="left" w:pos="2126"/>
              </w:tabs>
              <w:spacing w:before="120" w:after="240" w:line="240" w:lineRule="atLeast"/>
              <w:rPr>
                <w:rFonts w:ascii="Arial" w:hAnsi="Arial" w:cs="Arial"/>
                <w:sz w:val="18"/>
                <w:szCs w:val="18"/>
                <w:lang w:val="en-GB"/>
              </w:rPr>
            </w:pPr>
            <w:r w:rsidRPr="00D127D7">
              <w:rPr>
                <w:rFonts w:ascii="Arial" w:hAnsi="Arial" w:cs="Arial"/>
                <w:sz w:val="18"/>
                <w:szCs w:val="18"/>
                <w:lang w:val="en-GB"/>
              </w:rPr>
              <w:t xml:space="preserve">15.3.1 UNSD metadata January 2018, </w:t>
            </w:r>
            <w:hyperlink r:id="rId29" w:history="1">
              <w:r w:rsidRPr="00D127D7">
                <w:rPr>
                  <w:rStyle w:val="Hyperlink"/>
                  <w:rFonts w:ascii="Arial" w:hAnsi="Arial" w:cs="Arial"/>
                  <w:sz w:val="18"/>
                  <w:szCs w:val="18"/>
                  <w:lang w:val="en-GB"/>
                </w:rPr>
                <w:t>https://unstats.un.org/sdgs/metadata/files/Metadata-15-03-01.pdf</w:t>
              </w:r>
            </w:hyperlink>
            <w:r w:rsidRPr="00D127D7">
              <w:rPr>
                <w:rFonts w:ascii="Arial" w:hAnsi="Arial" w:cs="Arial"/>
                <w:sz w:val="18"/>
                <w:szCs w:val="18"/>
                <w:lang w:val="en-GB"/>
              </w:rPr>
              <w:t xml:space="preserve"> </w:t>
            </w:r>
          </w:p>
          <w:p w14:paraId="10B192CA" w14:textId="0759406D" w:rsidR="00726B10" w:rsidRPr="00D127D7" w:rsidRDefault="009E7FA2" w:rsidP="00BE2F64">
            <w:pPr>
              <w:pStyle w:val="ListParagraph"/>
              <w:numPr>
                <w:ilvl w:val="0"/>
                <w:numId w:val="16"/>
              </w:numPr>
              <w:tabs>
                <w:tab w:val="left" w:pos="2126"/>
              </w:tabs>
              <w:spacing w:before="120" w:after="240" w:line="240" w:lineRule="atLeast"/>
              <w:rPr>
                <w:rFonts w:ascii="Arial" w:hAnsi="Arial" w:cs="Arial"/>
                <w:sz w:val="18"/>
                <w:szCs w:val="18"/>
                <w:lang w:val="en-GB"/>
              </w:rPr>
            </w:pPr>
            <w:r w:rsidRPr="00D127D7">
              <w:rPr>
                <w:rFonts w:ascii="Arial" w:hAnsi="Arial" w:cs="Arial"/>
                <w:sz w:val="18"/>
                <w:szCs w:val="18"/>
                <w:lang w:val="en-GB"/>
              </w:rPr>
              <w:t xml:space="preserve">UNCCD reporting process overview: </w:t>
            </w:r>
            <w:hyperlink r:id="rId30" w:history="1">
              <w:r w:rsidR="00BD7AD1" w:rsidRPr="00D127D7">
                <w:rPr>
                  <w:rStyle w:val="Hyperlink"/>
                  <w:rFonts w:ascii="Arial" w:hAnsi="Arial" w:cs="Arial"/>
                  <w:sz w:val="18"/>
                  <w:szCs w:val="18"/>
                  <w:lang w:val="en-GB"/>
                </w:rPr>
                <w:t>https://www.unccd.int/convention/2017-2018-unccd-reporting-process</w:t>
              </w:r>
            </w:hyperlink>
          </w:p>
          <w:p w14:paraId="1744B186" w14:textId="214C76B7" w:rsidR="00BD7AD1" w:rsidRPr="00BE2F64" w:rsidRDefault="00BD7AD1" w:rsidP="00BE2F64">
            <w:pPr>
              <w:pStyle w:val="ListParagraph"/>
              <w:numPr>
                <w:ilvl w:val="0"/>
                <w:numId w:val="16"/>
              </w:numPr>
              <w:tabs>
                <w:tab w:val="left" w:pos="2126"/>
              </w:tabs>
              <w:spacing w:before="120" w:after="240" w:line="240" w:lineRule="atLeast"/>
              <w:rPr>
                <w:rStyle w:val="Hyperlink"/>
                <w:rFonts w:ascii="Arial" w:hAnsi="Arial" w:cs="Arial"/>
                <w:color w:val="auto"/>
                <w:sz w:val="18"/>
                <w:szCs w:val="18"/>
                <w:u w:val="none"/>
                <w:lang w:val="en-GB"/>
              </w:rPr>
            </w:pPr>
            <w:r w:rsidRPr="00D127D7">
              <w:rPr>
                <w:rFonts w:ascii="Arial" w:hAnsi="Arial" w:cs="Arial"/>
                <w:sz w:val="18"/>
                <w:szCs w:val="18"/>
                <w:lang w:val="en-GB"/>
              </w:rPr>
              <w:t xml:space="preserve">UNCCD Reporting Manual for 2017-2018 UNCCD reporting Process: </w:t>
            </w:r>
            <w:hyperlink r:id="rId31" w:history="1">
              <w:r w:rsidRPr="00D127D7">
                <w:rPr>
                  <w:rStyle w:val="Hyperlink"/>
                  <w:rFonts w:ascii="Arial" w:hAnsi="Arial" w:cs="Arial"/>
                  <w:sz w:val="18"/>
                  <w:szCs w:val="18"/>
                  <w:lang w:val="en-GB"/>
                </w:rPr>
                <w:t>https://prais.unccd.int/sites/default/files/helper_documents/2-Manual_EN_1.pdf</w:t>
              </w:r>
            </w:hyperlink>
          </w:p>
          <w:p w14:paraId="47F37ADA" w14:textId="06DD46B8" w:rsidR="00BE2F64" w:rsidRPr="00BE2F64" w:rsidRDefault="00BE2F64" w:rsidP="00207D1F">
            <w:pPr>
              <w:pStyle w:val="ListParagraph"/>
              <w:numPr>
                <w:ilvl w:val="0"/>
                <w:numId w:val="16"/>
              </w:numPr>
              <w:tabs>
                <w:tab w:val="left" w:pos="2126"/>
              </w:tabs>
              <w:spacing w:before="120" w:after="240" w:line="240" w:lineRule="atLeast"/>
              <w:rPr>
                <w:rFonts w:ascii="Arial" w:hAnsi="Arial" w:cs="Arial"/>
                <w:sz w:val="18"/>
                <w:szCs w:val="18"/>
                <w:lang w:val="en-GB"/>
              </w:rPr>
            </w:pPr>
            <w:r w:rsidRPr="00BE2F64">
              <w:rPr>
                <w:rFonts w:ascii="Arial" w:hAnsi="Arial" w:cs="Arial"/>
                <w:sz w:val="18"/>
                <w:szCs w:val="18"/>
                <w:lang w:val="en-GB"/>
              </w:rPr>
              <w:t>Default data: methods and interpretation.</w:t>
            </w:r>
            <w:r>
              <w:rPr>
                <w:rFonts w:ascii="Arial" w:hAnsi="Arial" w:cs="Arial"/>
                <w:sz w:val="18"/>
                <w:szCs w:val="18"/>
                <w:lang w:val="en-GB"/>
              </w:rPr>
              <w:t xml:space="preserve"> </w:t>
            </w:r>
            <w:r w:rsidRPr="00BE2F64">
              <w:rPr>
                <w:rFonts w:ascii="Arial" w:hAnsi="Arial" w:cs="Arial"/>
                <w:sz w:val="18"/>
                <w:szCs w:val="18"/>
                <w:lang w:val="en-GB"/>
              </w:rPr>
              <w:t>A guidance document for the 2018 UNCCD</w:t>
            </w:r>
          </w:p>
          <w:p w14:paraId="240FCF5E" w14:textId="5F3FAA0A" w:rsidR="00BE2F64" w:rsidRDefault="00BE2F64" w:rsidP="00BE2F64">
            <w:pPr>
              <w:pStyle w:val="ListParagraph"/>
              <w:tabs>
                <w:tab w:val="left" w:pos="2126"/>
              </w:tabs>
              <w:spacing w:before="120" w:after="240" w:line="240" w:lineRule="atLeast"/>
              <w:rPr>
                <w:rFonts w:ascii="Arial" w:hAnsi="Arial" w:cs="Arial"/>
                <w:sz w:val="18"/>
                <w:szCs w:val="18"/>
                <w:lang w:val="en-GB"/>
              </w:rPr>
            </w:pPr>
            <w:r w:rsidRPr="00BE2F64">
              <w:rPr>
                <w:rFonts w:ascii="Arial" w:hAnsi="Arial" w:cs="Arial"/>
                <w:sz w:val="18"/>
                <w:szCs w:val="18"/>
                <w:lang w:val="en-GB"/>
              </w:rPr>
              <w:t>Reporting</w:t>
            </w:r>
            <w:r>
              <w:rPr>
                <w:rFonts w:ascii="Arial" w:hAnsi="Arial" w:cs="Arial"/>
                <w:sz w:val="18"/>
                <w:szCs w:val="18"/>
                <w:lang w:val="en-GB"/>
              </w:rPr>
              <w:t xml:space="preserve"> </w:t>
            </w:r>
            <w:hyperlink r:id="rId32" w:history="1">
              <w:r w:rsidRPr="00867623">
                <w:rPr>
                  <w:rStyle w:val="Hyperlink"/>
                  <w:rFonts w:ascii="Arial" w:hAnsi="Arial" w:cs="Arial"/>
                  <w:sz w:val="18"/>
                  <w:szCs w:val="18"/>
                  <w:lang w:val="en-GB"/>
                </w:rPr>
                <w:t>https://prais.unccd.int/sites/default/files/helper_documents/3-DD_guidance_EN.pdf</w:t>
              </w:r>
            </w:hyperlink>
          </w:p>
          <w:p w14:paraId="2679D014" w14:textId="286B1D1F" w:rsidR="00BD7AD1" w:rsidRPr="00BE2F64" w:rsidRDefault="00BD7AD1" w:rsidP="00BE2F64">
            <w:pPr>
              <w:tabs>
                <w:tab w:val="left" w:pos="2126"/>
              </w:tabs>
              <w:spacing w:before="120" w:after="240" w:line="240" w:lineRule="atLeast"/>
              <w:rPr>
                <w:rFonts w:ascii="Arial" w:hAnsi="Arial" w:cs="Arial"/>
                <w:b/>
                <w:sz w:val="18"/>
                <w:szCs w:val="18"/>
                <w:lang w:val="en-GB"/>
              </w:rPr>
            </w:pPr>
            <w:r w:rsidRPr="00BE2F64">
              <w:rPr>
                <w:rFonts w:ascii="Arial" w:hAnsi="Arial" w:cs="Arial"/>
                <w:b/>
                <w:sz w:val="18"/>
                <w:szCs w:val="18"/>
                <w:lang w:val="en-GB"/>
              </w:rPr>
              <w:t>Publications</w:t>
            </w:r>
          </w:p>
          <w:p w14:paraId="6FB92ADF" w14:textId="58210EF5" w:rsidR="00C02B12" w:rsidRPr="00D127D7" w:rsidRDefault="00C02B12">
            <w:pPr>
              <w:pStyle w:val="ListParagraph"/>
              <w:numPr>
                <w:ilvl w:val="0"/>
                <w:numId w:val="23"/>
              </w:numPr>
              <w:tabs>
                <w:tab w:val="left" w:pos="2126"/>
              </w:tabs>
              <w:spacing w:before="120" w:line="240" w:lineRule="atLeast"/>
              <w:rPr>
                <w:rFonts w:ascii="Arial" w:hAnsi="Arial" w:cs="Arial"/>
                <w:sz w:val="18"/>
                <w:szCs w:val="18"/>
                <w:lang w:val="en-GB"/>
              </w:rPr>
            </w:pPr>
            <w:r w:rsidRPr="00D127D7">
              <w:rPr>
                <w:rFonts w:ascii="Arial" w:hAnsi="Arial" w:cs="Arial"/>
                <w:sz w:val="18"/>
                <w:szCs w:val="18"/>
                <w:lang w:val="en-GB"/>
              </w:rPr>
              <w:t xml:space="preserve">Neil C. Sims, Jacqueline R. England, Glenn J. Newnham, Sasha Alexander, Carly Green, Sara Minelli, Alex Held, 2019: Developing good practice guidance for estimating land degradation in the context of the United Nations Sustainable Development Goals, Environmental Science &amp; Policy, Volume 92, Pages 349-355, </w:t>
            </w:r>
            <w:hyperlink r:id="rId33" w:history="1">
              <w:r w:rsidR="003F298A" w:rsidRPr="006E509E">
                <w:rPr>
                  <w:rStyle w:val="Hyperlink"/>
                  <w:rFonts w:ascii="Arial" w:hAnsi="Arial" w:cs="Arial"/>
                  <w:sz w:val="18"/>
                  <w:szCs w:val="18"/>
                  <w:lang w:val="en-US"/>
                </w:rPr>
                <w:t>https://doi.org/10.1016/j.envsci.2018.10.014</w:t>
              </w:r>
            </w:hyperlink>
            <w:r w:rsidRPr="00D127D7">
              <w:rPr>
                <w:rFonts w:ascii="Arial" w:hAnsi="Arial" w:cs="Arial"/>
                <w:sz w:val="18"/>
                <w:szCs w:val="18"/>
                <w:lang w:val="en-GB"/>
              </w:rPr>
              <w:t>.</w:t>
            </w:r>
            <w:r w:rsidR="003F298A">
              <w:rPr>
                <w:rFonts w:ascii="Arial" w:hAnsi="Arial" w:cs="Arial"/>
                <w:sz w:val="18"/>
                <w:szCs w:val="18"/>
                <w:lang w:val="en-GB"/>
              </w:rPr>
              <w:t xml:space="preserve"> </w:t>
            </w:r>
          </w:p>
          <w:p w14:paraId="0FBD0C9D" w14:textId="6E989C82" w:rsidR="00FF2986" w:rsidRPr="00D127D7" w:rsidRDefault="00C02B12" w:rsidP="00852787">
            <w:pPr>
              <w:pStyle w:val="ListParagraph"/>
              <w:numPr>
                <w:ilvl w:val="0"/>
                <w:numId w:val="23"/>
              </w:numPr>
              <w:tabs>
                <w:tab w:val="left" w:pos="2126"/>
              </w:tabs>
              <w:spacing w:before="120" w:line="240" w:lineRule="atLeast"/>
              <w:rPr>
                <w:rFonts w:ascii="Arial" w:hAnsi="Arial" w:cs="Arial"/>
                <w:sz w:val="18"/>
                <w:szCs w:val="18"/>
                <w:lang w:val="en-GB"/>
              </w:rPr>
            </w:pPr>
            <w:r w:rsidRPr="00D127D7">
              <w:rPr>
                <w:rFonts w:ascii="Arial" w:hAnsi="Arial" w:cs="Arial"/>
                <w:sz w:val="18"/>
                <w:szCs w:val="18"/>
                <w:lang w:val="en-GB"/>
              </w:rPr>
              <w:t xml:space="preserve">Note: Please also refer to the GPG list of references. </w:t>
            </w:r>
          </w:p>
          <w:p w14:paraId="76E29AFD" w14:textId="74D55B72" w:rsidR="00747C48" w:rsidRPr="00D127D7" w:rsidRDefault="00EB3B8B" w:rsidP="00747C48">
            <w:pPr>
              <w:tabs>
                <w:tab w:val="left" w:pos="2126"/>
              </w:tabs>
              <w:spacing w:before="120" w:line="240" w:lineRule="atLeast"/>
              <w:rPr>
                <w:rFonts w:ascii="Arial" w:hAnsi="Arial" w:cs="Arial"/>
                <w:b/>
                <w:sz w:val="18"/>
                <w:szCs w:val="18"/>
                <w:lang w:val="en-GB"/>
              </w:rPr>
            </w:pPr>
            <w:r>
              <w:rPr>
                <w:rFonts w:ascii="Arial" w:hAnsi="Arial" w:cs="Arial"/>
                <w:b/>
                <w:sz w:val="18"/>
                <w:szCs w:val="18"/>
                <w:lang w:val="en-GB"/>
              </w:rPr>
              <w:t xml:space="preserve">EO </w:t>
            </w:r>
            <w:r w:rsidR="00FF2986" w:rsidRPr="00D127D7">
              <w:rPr>
                <w:rFonts w:ascii="Arial" w:hAnsi="Arial" w:cs="Arial"/>
                <w:b/>
                <w:sz w:val="18"/>
                <w:szCs w:val="18"/>
                <w:lang w:val="en-GB"/>
              </w:rPr>
              <w:t>T</w:t>
            </w:r>
            <w:r w:rsidR="00747C48" w:rsidRPr="00D127D7">
              <w:rPr>
                <w:rFonts w:ascii="Arial" w:hAnsi="Arial" w:cs="Arial"/>
                <w:b/>
                <w:sz w:val="18"/>
                <w:szCs w:val="18"/>
                <w:lang w:val="en-GB"/>
              </w:rPr>
              <w:t xml:space="preserve">echnical </w:t>
            </w:r>
            <w:r w:rsidR="00FF2986" w:rsidRPr="00D127D7">
              <w:rPr>
                <w:rFonts w:ascii="Arial" w:hAnsi="Arial" w:cs="Arial"/>
                <w:b/>
                <w:sz w:val="18"/>
                <w:szCs w:val="18"/>
                <w:lang w:val="en-GB"/>
              </w:rPr>
              <w:t>sites</w:t>
            </w:r>
          </w:p>
          <w:p w14:paraId="755D8C5E" w14:textId="77777777" w:rsidR="00F20B1F" w:rsidRDefault="00275626" w:rsidP="00F20B1F">
            <w:pPr>
              <w:pStyle w:val="ListParagraph"/>
              <w:numPr>
                <w:ilvl w:val="0"/>
                <w:numId w:val="17"/>
              </w:numPr>
              <w:tabs>
                <w:tab w:val="left" w:pos="2126"/>
              </w:tabs>
              <w:spacing w:before="120" w:line="240" w:lineRule="atLeast"/>
              <w:rPr>
                <w:rFonts w:ascii="Arial" w:hAnsi="Arial" w:cs="Arial"/>
                <w:sz w:val="18"/>
                <w:szCs w:val="18"/>
                <w:lang w:val="en-GB"/>
              </w:rPr>
            </w:pPr>
            <w:hyperlink r:id="rId34" w:history="1">
              <w:proofErr w:type="spellStart"/>
              <w:r w:rsidR="009948CC" w:rsidRPr="00D127D7">
                <w:rPr>
                  <w:rStyle w:val="Hyperlink"/>
                  <w:rFonts w:ascii="Arial" w:hAnsi="Arial" w:cs="Arial"/>
                  <w:sz w:val="18"/>
                  <w:szCs w:val="18"/>
                  <w:lang w:val="en-GB"/>
                </w:rPr>
                <w:t>Trends.Earth</w:t>
              </w:r>
              <w:proofErr w:type="spellEnd"/>
            </w:hyperlink>
            <w:r w:rsidR="009948CC" w:rsidRPr="00D127D7">
              <w:rPr>
                <w:rFonts w:ascii="Arial" w:hAnsi="Arial" w:cs="Arial"/>
                <w:sz w:val="18"/>
                <w:szCs w:val="18"/>
                <w:lang w:val="en-GB"/>
              </w:rPr>
              <w:t xml:space="preserve"> </w:t>
            </w:r>
            <w:r w:rsidR="00FF3CF2" w:rsidRPr="00D127D7">
              <w:rPr>
                <w:rFonts w:ascii="Arial" w:hAnsi="Arial" w:cs="Arial"/>
                <w:sz w:val="18"/>
                <w:szCs w:val="18"/>
                <w:lang w:val="en-GB"/>
              </w:rPr>
              <w:t>hosted by Conservation International (CI), with partners: Lund University, NASA, and the GEF.</w:t>
            </w:r>
          </w:p>
          <w:p w14:paraId="1130F328" w14:textId="77777777" w:rsidR="00F20B1F" w:rsidRPr="00F20B1F" w:rsidRDefault="00F20B1F" w:rsidP="00F20B1F">
            <w:pPr>
              <w:pStyle w:val="ListParagraph"/>
              <w:numPr>
                <w:ilvl w:val="0"/>
                <w:numId w:val="17"/>
              </w:numPr>
              <w:tabs>
                <w:tab w:val="left" w:pos="2126"/>
              </w:tabs>
              <w:spacing w:before="120" w:line="240" w:lineRule="atLeast"/>
              <w:rPr>
                <w:rFonts w:ascii="Arial" w:hAnsi="Arial" w:cs="Arial"/>
                <w:sz w:val="18"/>
                <w:szCs w:val="18"/>
                <w:lang w:val="en-GB"/>
              </w:rPr>
            </w:pPr>
            <w:r w:rsidRPr="00F20B1F">
              <w:rPr>
                <w:rFonts w:ascii="Arial" w:hAnsi="Arial"/>
                <w:sz w:val="18"/>
                <w:lang w:val="en-GB"/>
              </w:rPr>
              <w:t>ESA Climate Change Initiative Land Cover dataset v. 2.0.7:</w:t>
            </w:r>
            <w:r w:rsidRPr="00F20B1F">
              <w:rPr>
                <w:rFonts w:ascii="Arial" w:hAnsi="Arial"/>
                <w:b/>
                <w:bCs/>
                <w:sz w:val="18"/>
                <w:lang w:val="en-GB"/>
              </w:rPr>
              <w:t xml:space="preserve"> </w:t>
            </w:r>
            <w:hyperlink r:id="rId35" w:history="1">
              <w:r w:rsidRPr="006E509E">
                <w:rPr>
                  <w:rStyle w:val="Hyperlink"/>
                  <w:rFonts w:ascii="Arial" w:hAnsi="Arial" w:cs="Arial"/>
                  <w:sz w:val="18"/>
                  <w:szCs w:val="18"/>
                  <w:lang w:val="en-US"/>
                </w:rPr>
                <w:t>https://www.esa-landcover-cci.org/</w:t>
              </w:r>
            </w:hyperlink>
          </w:p>
          <w:p w14:paraId="6DA7575F" w14:textId="47CFB672" w:rsidR="00F20B1F" w:rsidRPr="006E509E" w:rsidRDefault="00F20B1F" w:rsidP="00F20B1F">
            <w:pPr>
              <w:pStyle w:val="ListParagraph"/>
              <w:tabs>
                <w:tab w:val="left" w:pos="2126"/>
              </w:tabs>
              <w:spacing w:before="120" w:after="80" w:line="240" w:lineRule="atLeast"/>
              <w:rPr>
                <w:rFonts w:ascii="Arial" w:hAnsi="Arial" w:cs="Arial"/>
                <w:sz w:val="18"/>
                <w:szCs w:val="18"/>
                <w:lang w:val="en-US"/>
              </w:rPr>
            </w:pPr>
            <w:r w:rsidRPr="00F20B1F">
              <w:rPr>
                <w:rFonts w:ascii="Arial" w:hAnsi="Arial" w:cs="Arial"/>
                <w:sz w:val="18"/>
                <w:szCs w:val="18"/>
                <w:lang w:val="en-GB"/>
              </w:rPr>
              <w:t>Copernicus Dynamic Land Cover:</w:t>
            </w:r>
            <w:r w:rsidRPr="006E509E">
              <w:rPr>
                <w:rFonts w:ascii="Arial" w:hAnsi="Arial" w:cs="Arial"/>
                <w:sz w:val="18"/>
                <w:szCs w:val="18"/>
                <w:lang w:val="en-US"/>
              </w:rPr>
              <w:t xml:space="preserve"> </w:t>
            </w:r>
            <w:hyperlink r:id="rId36" w:history="1">
              <w:r w:rsidRPr="006E509E">
                <w:rPr>
                  <w:rStyle w:val="Hyperlink"/>
                  <w:rFonts w:ascii="Arial" w:hAnsi="Arial" w:cs="Arial"/>
                  <w:sz w:val="18"/>
                  <w:szCs w:val="18"/>
                  <w:lang w:val="en-US"/>
                </w:rPr>
                <w:t>https://land.copernicus.eu/global/products/lc</w:t>
              </w:r>
            </w:hyperlink>
          </w:p>
          <w:p w14:paraId="571DF439" w14:textId="77777777" w:rsidR="00BE2F64" w:rsidRPr="006E509E" w:rsidRDefault="00F20B1F" w:rsidP="00BE2F64">
            <w:pPr>
              <w:pStyle w:val="ListParagraph"/>
              <w:tabs>
                <w:tab w:val="left" w:pos="2126"/>
              </w:tabs>
              <w:spacing w:before="120" w:after="80" w:line="240" w:lineRule="atLeast"/>
              <w:rPr>
                <w:rStyle w:val="Hyperlink"/>
                <w:rFonts w:cs="Arial"/>
                <w:szCs w:val="18"/>
                <w:lang w:val="en-US"/>
              </w:rPr>
            </w:pPr>
            <w:r w:rsidRPr="00F20B1F">
              <w:rPr>
                <w:rFonts w:ascii="Arial" w:hAnsi="Arial" w:cs="Arial"/>
                <w:sz w:val="18"/>
                <w:szCs w:val="18"/>
                <w:lang w:val="en-GB"/>
              </w:rPr>
              <w:t>Copernicus Global Land Service products</w:t>
            </w:r>
            <w:r>
              <w:rPr>
                <w:rFonts w:ascii="Arial" w:hAnsi="Arial" w:cs="Arial"/>
                <w:sz w:val="18"/>
                <w:szCs w:val="18"/>
                <w:lang w:val="en-GB"/>
              </w:rPr>
              <w:t xml:space="preserve">: </w:t>
            </w:r>
            <w:hyperlink r:id="rId37" w:history="1">
              <w:r w:rsidR="00BE2F64" w:rsidRPr="006E509E">
                <w:rPr>
                  <w:rStyle w:val="Hyperlink"/>
                  <w:rFonts w:ascii="Arial" w:hAnsi="Arial" w:cs="Arial"/>
                  <w:sz w:val="18"/>
                  <w:szCs w:val="18"/>
                  <w:lang w:val="en-US"/>
                </w:rPr>
                <w:t>https://land.copernicus.eu/global/</w:t>
              </w:r>
            </w:hyperlink>
          </w:p>
          <w:p w14:paraId="3111F193" w14:textId="186D5E5C" w:rsidR="00BE2F64" w:rsidRPr="006E509E" w:rsidRDefault="00BE2F64" w:rsidP="00BE2F64">
            <w:pPr>
              <w:pStyle w:val="ListParagraph"/>
              <w:tabs>
                <w:tab w:val="left" w:pos="2126"/>
              </w:tabs>
              <w:spacing w:before="120" w:after="80" w:line="240" w:lineRule="atLeast"/>
              <w:rPr>
                <w:rFonts w:ascii="Arial" w:hAnsi="Arial" w:cs="Arial"/>
                <w:sz w:val="18"/>
                <w:szCs w:val="18"/>
                <w:lang w:val="en-US"/>
              </w:rPr>
            </w:pPr>
            <w:r w:rsidRPr="00BE2F64">
              <w:rPr>
                <w:rFonts w:ascii="Arial" w:hAnsi="Arial" w:cs="Arial"/>
                <w:sz w:val="18"/>
                <w:szCs w:val="18"/>
                <w:lang w:val="en-GB"/>
              </w:rPr>
              <w:t>Harmonized World Soil Database (HWSD), Version 1.2:</w:t>
            </w:r>
            <w:r w:rsidRPr="006E509E">
              <w:rPr>
                <w:rFonts w:ascii="Arial" w:hAnsi="Arial" w:cs="Arial"/>
                <w:sz w:val="18"/>
                <w:szCs w:val="18"/>
                <w:lang w:val="en-US"/>
              </w:rPr>
              <w:t xml:space="preserve"> </w:t>
            </w:r>
            <w:hyperlink r:id="rId38" w:history="1">
              <w:r w:rsidRPr="006E509E">
                <w:rPr>
                  <w:rStyle w:val="Hyperlink"/>
                  <w:rFonts w:ascii="Arial" w:hAnsi="Arial" w:cs="Arial"/>
                  <w:sz w:val="18"/>
                  <w:szCs w:val="18"/>
                  <w:lang w:val="en-US"/>
                </w:rPr>
                <w:t>http://www.fao.org/soils-portal/soil-survey/soil-maps-and-databases/harmonized-world-soil-database-v12/en/</w:t>
              </w:r>
            </w:hyperlink>
          </w:p>
          <w:p w14:paraId="41D4909E" w14:textId="77777777" w:rsidR="00BE2F64" w:rsidRPr="00BE2F64" w:rsidRDefault="00BE2F64" w:rsidP="00BE2F64">
            <w:pPr>
              <w:pStyle w:val="ListParagraph"/>
              <w:numPr>
                <w:ilvl w:val="0"/>
                <w:numId w:val="22"/>
              </w:numPr>
              <w:tabs>
                <w:tab w:val="left" w:pos="2126"/>
              </w:tabs>
              <w:spacing w:before="120" w:after="80" w:line="240" w:lineRule="atLeast"/>
              <w:rPr>
                <w:rFonts w:ascii="Arial" w:hAnsi="Arial"/>
                <w:i/>
                <w:iCs/>
                <w:sz w:val="18"/>
                <w:lang w:val="de-DE"/>
              </w:rPr>
            </w:pPr>
            <w:proofErr w:type="spellStart"/>
            <w:r w:rsidRPr="00BE2F64">
              <w:rPr>
                <w:rFonts w:ascii="Arial" w:hAnsi="Arial" w:cs="Arial"/>
                <w:sz w:val="18"/>
                <w:szCs w:val="18"/>
                <w:lang w:val="de-DE"/>
              </w:rPr>
              <w:t>ISRIC’s</w:t>
            </w:r>
            <w:proofErr w:type="spellEnd"/>
            <w:r w:rsidRPr="00BE2F64">
              <w:rPr>
                <w:rFonts w:ascii="Arial" w:hAnsi="Arial" w:cs="Arial"/>
                <w:sz w:val="18"/>
                <w:szCs w:val="18"/>
                <w:lang w:val="de-DE"/>
              </w:rPr>
              <w:t xml:space="preserve"> SoilGrids250m: </w:t>
            </w:r>
            <w:hyperlink r:id="rId39" w:history="1">
              <w:r w:rsidRPr="00867623">
                <w:rPr>
                  <w:rStyle w:val="Hyperlink"/>
                  <w:rFonts w:ascii="Arial" w:hAnsi="Arial" w:cs="Arial"/>
                  <w:sz w:val="18"/>
                  <w:szCs w:val="18"/>
                </w:rPr>
                <w:t>https://www.isric.org/explore/soilgrids</w:t>
              </w:r>
            </w:hyperlink>
          </w:p>
          <w:p w14:paraId="2E3B3020" w14:textId="77777777" w:rsidR="00BE2F64" w:rsidRPr="00176C62" w:rsidRDefault="00BE2F64" w:rsidP="008869FA">
            <w:pPr>
              <w:pStyle w:val="ListParagraph"/>
              <w:numPr>
                <w:ilvl w:val="0"/>
                <w:numId w:val="17"/>
              </w:numPr>
              <w:tabs>
                <w:tab w:val="left" w:pos="2126"/>
              </w:tabs>
              <w:spacing w:before="120" w:line="240" w:lineRule="atLeast"/>
              <w:rPr>
                <w:rFonts w:ascii="Arial" w:hAnsi="Arial" w:cs="Arial"/>
                <w:sz w:val="18"/>
                <w:szCs w:val="18"/>
                <w:lang w:val="en-US"/>
              </w:rPr>
            </w:pPr>
            <w:r w:rsidRPr="00BE2F64">
              <w:rPr>
                <w:rFonts w:ascii="Arial" w:hAnsi="Arial" w:cs="Arial"/>
                <w:sz w:val="18"/>
                <w:szCs w:val="18"/>
                <w:lang w:val="en-US"/>
              </w:rPr>
              <w:t>Global Soil Organic Carbon Map v1.0</w:t>
            </w:r>
            <w:r>
              <w:rPr>
                <w:rFonts w:ascii="Arial" w:hAnsi="Arial" w:cs="Arial"/>
                <w:sz w:val="18"/>
                <w:szCs w:val="18"/>
                <w:lang w:val="en-US"/>
              </w:rPr>
              <w:t xml:space="preserve">: </w:t>
            </w:r>
            <w:hyperlink r:id="rId40" w:history="1">
              <w:r w:rsidRPr="006E509E">
                <w:rPr>
                  <w:rStyle w:val="Hyperlink"/>
                  <w:rFonts w:ascii="Arial" w:hAnsi="Arial" w:cs="Arial"/>
                  <w:sz w:val="18"/>
                  <w:szCs w:val="18"/>
                  <w:lang w:val="en-US"/>
                </w:rPr>
                <w:t>http://www.fao.org/3/i8195en/I8195EN.pdf</w:t>
              </w:r>
            </w:hyperlink>
          </w:p>
          <w:p w14:paraId="05F0EC33" w14:textId="599FB2B2" w:rsidR="00176C62" w:rsidRDefault="00176C62" w:rsidP="008869FA">
            <w:pPr>
              <w:pStyle w:val="ListParagraph"/>
              <w:numPr>
                <w:ilvl w:val="0"/>
                <w:numId w:val="17"/>
              </w:numPr>
              <w:tabs>
                <w:tab w:val="left" w:pos="2126"/>
              </w:tabs>
              <w:spacing w:before="120" w:line="240" w:lineRule="atLeast"/>
              <w:rPr>
                <w:rFonts w:ascii="Arial" w:hAnsi="Arial" w:cs="Arial"/>
                <w:sz w:val="18"/>
                <w:szCs w:val="18"/>
                <w:lang w:val="en-US"/>
              </w:rPr>
            </w:pPr>
            <w:proofErr w:type="spellStart"/>
            <w:r w:rsidRPr="00176C62">
              <w:rPr>
                <w:rFonts w:ascii="Arial" w:hAnsi="Arial" w:cs="Arial"/>
                <w:sz w:val="18"/>
                <w:szCs w:val="18"/>
                <w:lang w:val="en-US"/>
              </w:rPr>
              <w:t>EarthExplorer</w:t>
            </w:r>
            <w:proofErr w:type="spellEnd"/>
            <w:r w:rsidRPr="00176C62">
              <w:rPr>
                <w:rFonts w:ascii="Arial" w:hAnsi="Arial" w:cs="Arial"/>
                <w:sz w:val="18"/>
                <w:szCs w:val="18"/>
                <w:lang w:val="en-US"/>
              </w:rPr>
              <w:t xml:space="preserve">: </w:t>
            </w:r>
            <w:hyperlink r:id="rId41" w:history="1">
              <w:r w:rsidRPr="00867623">
                <w:rPr>
                  <w:rStyle w:val="Hyperlink"/>
                  <w:rFonts w:ascii="Arial" w:hAnsi="Arial" w:cs="Arial"/>
                  <w:sz w:val="18"/>
                  <w:szCs w:val="18"/>
                  <w:lang w:val="en-US"/>
                </w:rPr>
                <w:t>https://earthexplorer.usgs.gov/</w:t>
              </w:r>
            </w:hyperlink>
          </w:p>
          <w:p w14:paraId="3EF6C5A8" w14:textId="493FA18D" w:rsidR="00176C62" w:rsidRDefault="00176C62" w:rsidP="008869FA">
            <w:pPr>
              <w:pStyle w:val="ListParagraph"/>
              <w:numPr>
                <w:ilvl w:val="0"/>
                <w:numId w:val="17"/>
              </w:numPr>
              <w:tabs>
                <w:tab w:val="left" w:pos="2126"/>
              </w:tabs>
              <w:spacing w:before="120" w:line="240" w:lineRule="atLeast"/>
              <w:rPr>
                <w:rFonts w:ascii="Arial" w:hAnsi="Arial" w:cs="Arial"/>
                <w:sz w:val="18"/>
                <w:szCs w:val="18"/>
                <w:lang w:val="en-US"/>
              </w:rPr>
            </w:pPr>
            <w:r w:rsidRPr="00176C62">
              <w:rPr>
                <w:rFonts w:ascii="Arial" w:hAnsi="Arial" w:cs="Arial"/>
                <w:sz w:val="18"/>
                <w:szCs w:val="18"/>
                <w:lang w:val="en-US"/>
              </w:rPr>
              <w:t xml:space="preserve">Sentinel Open Access Hub” </w:t>
            </w:r>
            <w:hyperlink r:id="rId42" w:history="1">
              <w:r w:rsidRPr="00867623">
                <w:rPr>
                  <w:rStyle w:val="Hyperlink"/>
                  <w:rFonts w:ascii="Arial" w:hAnsi="Arial" w:cs="Arial"/>
                  <w:sz w:val="18"/>
                  <w:szCs w:val="18"/>
                  <w:lang w:val="en-US"/>
                </w:rPr>
                <w:t>https://scihub.copernicus.eu/</w:t>
              </w:r>
            </w:hyperlink>
          </w:p>
          <w:p w14:paraId="79ED2C77" w14:textId="23B05698" w:rsidR="00176C62" w:rsidRPr="008869FA" w:rsidRDefault="00176C62" w:rsidP="00176C62">
            <w:pPr>
              <w:pStyle w:val="ListParagraph"/>
              <w:tabs>
                <w:tab w:val="left" w:pos="2126"/>
              </w:tabs>
              <w:spacing w:before="120" w:line="240" w:lineRule="atLeast"/>
              <w:rPr>
                <w:rFonts w:ascii="Arial" w:hAnsi="Arial" w:cs="Arial"/>
                <w:sz w:val="18"/>
                <w:szCs w:val="18"/>
                <w:lang w:val="en-US"/>
              </w:rPr>
            </w:pPr>
          </w:p>
        </w:tc>
      </w:tr>
    </w:tbl>
    <w:p w14:paraId="32DBB2E7" w14:textId="77777777" w:rsidR="0002778B" w:rsidRPr="00BE2F64" w:rsidRDefault="0002778B">
      <w:pPr>
        <w:rPr>
          <w:lang w:val="en-US"/>
        </w:rPr>
      </w:pPr>
    </w:p>
    <w:p w14:paraId="316B061C" w14:textId="77777777" w:rsidR="0002778B" w:rsidRPr="00BE2F64" w:rsidRDefault="0002778B">
      <w:pPr>
        <w:rPr>
          <w:lang w:val="en-US"/>
        </w:rPr>
      </w:pPr>
    </w:p>
    <w:sectPr w:rsidR="0002778B" w:rsidRPr="00BE2F64" w:rsidSect="00CB239D">
      <w:headerReference w:type="default" r:id="rId4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34B94" w14:textId="77777777" w:rsidR="00275626" w:rsidRDefault="00275626" w:rsidP="002F3C65">
      <w:r>
        <w:separator/>
      </w:r>
    </w:p>
  </w:endnote>
  <w:endnote w:type="continuationSeparator" w:id="0">
    <w:p w14:paraId="27939E4E" w14:textId="77777777" w:rsidR="00275626" w:rsidRDefault="00275626" w:rsidP="002F3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C000ACFF"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F4787" w14:textId="77777777" w:rsidR="00275626" w:rsidRDefault="00275626" w:rsidP="002F3C65">
      <w:r>
        <w:separator/>
      </w:r>
    </w:p>
  </w:footnote>
  <w:footnote w:type="continuationSeparator" w:id="0">
    <w:p w14:paraId="5DFCFA81" w14:textId="77777777" w:rsidR="00275626" w:rsidRDefault="00275626" w:rsidP="002F3C65">
      <w:r>
        <w:continuationSeparator/>
      </w:r>
    </w:p>
  </w:footnote>
  <w:footnote w:id="1">
    <w:p w14:paraId="390A6637" w14:textId="77777777" w:rsidR="00990C46" w:rsidRPr="00FD209E" w:rsidRDefault="00990C46" w:rsidP="00990C46">
      <w:pPr>
        <w:pStyle w:val="FootnoteText"/>
      </w:pPr>
      <w:r>
        <w:rPr>
          <w:rStyle w:val="FootnoteReference"/>
        </w:rPr>
        <w:footnoteRef/>
      </w:r>
      <w:r>
        <w:t xml:space="preserve"> </w:t>
      </w:r>
      <w:hyperlink r:id="rId1" w:history="1">
        <w:r w:rsidRPr="00F64129">
          <w:rPr>
            <w:rStyle w:val="Hyperlink"/>
            <w:rFonts w:ascii="Arial" w:hAnsi="Arial"/>
            <w:sz w:val="18"/>
          </w:rPr>
          <w:t>https://prais.unccd.int/node/7</w:t>
        </w:r>
      </w:hyperlink>
    </w:p>
  </w:footnote>
  <w:footnote w:id="2">
    <w:p w14:paraId="5F001E7A" w14:textId="77777777" w:rsidR="00990C46" w:rsidRPr="00FD209E" w:rsidRDefault="00990C46" w:rsidP="00990C46">
      <w:pPr>
        <w:pStyle w:val="FootnoteText"/>
      </w:pPr>
      <w:r>
        <w:rPr>
          <w:rStyle w:val="FootnoteReference"/>
        </w:rPr>
        <w:footnoteRef/>
      </w:r>
      <w:r>
        <w:t xml:space="preserve"> </w:t>
      </w:r>
      <w:r w:rsidRPr="00FD209E">
        <w:rPr>
          <w:rFonts w:ascii="Arial" w:hAnsi="Arial" w:cs="Arial"/>
          <w:sz w:val="18"/>
          <w:szCs w:val="18"/>
        </w:rPr>
        <w:t>Trends.Earth was produced as part of the project “Enabling the use of global data sources to assess and monitor land degradation at multiple scales”, funded by GEF.</w:t>
      </w:r>
      <w:r>
        <w:rPr>
          <w:sz w:val="18"/>
          <w:szCs w:val="18"/>
        </w:rPr>
        <w:t xml:space="preserve">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D6540" w14:textId="5F04F112" w:rsidR="00ED4E1F" w:rsidRPr="009F262D" w:rsidRDefault="00ED4E1F" w:rsidP="009F262D">
    <w:pPr>
      <w:pStyle w:val="Header"/>
      <w:jc w:val="center"/>
      <w:rPr>
        <w:i/>
        <w:sz w:val="22"/>
        <w:lang w:val="en-US"/>
      </w:rPr>
    </w:pPr>
    <w:r>
      <w:rPr>
        <w:lang w:val="da-DK"/>
      </w:rPr>
      <w:tab/>
    </w:r>
    <w:r w:rsidR="009F262D" w:rsidRPr="00EA41AF">
      <w:rPr>
        <w:i/>
        <w:sz w:val="22"/>
        <w:lang w:val="en-US"/>
      </w:rPr>
      <w:t xml:space="preserve">Indicator Support Sheet </w:t>
    </w:r>
    <w:r w:rsidR="009F262D">
      <w:rPr>
        <w:i/>
        <w:sz w:val="22"/>
        <w:lang w:val="en-US"/>
      </w:rPr>
      <w:t>15</w:t>
    </w:r>
    <w:r w:rsidR="009F262D" w:rsidRPr="00EA41AF">
      <w:rPr>
        <w:i/>
        <w:sz w:val="22"/>
        <w:lang w:val="en-US"/>
      </w:rPr>
      <w:t>.</w:t>
    </w:r>
    <w:r w:rsidR="009F262D">
      <w:rPr>
        <w:i/>
        <w:sz w:val="22"/>
        <w:lang w:val="en-US"/>
      </w:rPr>
      <w:t>3</w:t>
    </w:r>
    <w:r w:rsidR="009F262D" w:rsidRPr="00EA41AF">
      <w:rPr>
        <w:i/>
        <w:sz w:val="22"/>
        <w:lang w:val="en-US"/>
      </w:rPr>
      <w:t>.1, Draft 0.1, 9/9/2019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1BC97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602C47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B28F1B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AAE973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E5284B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B22953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314342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F5863F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9A643C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446E8C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ECC937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F0A2E3F"/>
    <w:multiLevelType w:val="hybridMultilevel"/>
    <w:tmpl w:val="3962D8BC"/>
    <w:lvl w:ilvl="0" w:tplc="59CA36F2">
      <w:numFmt w:val="bullet"/>
      <w:lvlText w:val="-"/>
      <w:lvlJc w:val="left"/>
      <w:pPr>
        <w:ind w:left="720" w:hanging="360"/>
      </w:pPr>
      <w:rPr>
        <w:rFonts w:ascii="Arial" w:eastAsia="Times New Roman" w:hAnsi="Arial" w:cs="Aria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55D44E5"/>
    <w:multiLevelType w:val="hybridMultilevel"/>
    <w:tmpl w:val="7F9637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6B83621"/>
    <w:multiLevelType w:val="hybridMultilevel"/>
    <w:tmpl w:val="B94294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8703751"/>
    <w:multiLevelType w:val="hybridMultilevel"/>
    <w:tmpl w:val="580880BE"/>
    <w:lvl w:ilvl="0" w:tplc="20AE016E">
      <w:start w:val="1"/>
      <w:numFmt w:val="upperLetter"/>
      <w:lvlText w:val="(%1)"/>
      <w:lvlJc w:val="left"/>
      <w:pPr>
        <w:ind w:left="405" w:hanging="360"/>
      </w:pPr>
      <w:rPr>
        <w:rFonts w:hint="default"/>
      </w:rPr>
    </w:lvl>
    <w:lvl w:ilvl="1" w:tplc="04060019" w:tentative="1">
      <w:start w:val="1"/>
      <w:numFmt w:val="lowerLetter"/>
      <w:lvlText w:val="%2."/>
      <w:lvlJc w:val="left"/>
      <w:pPr>
        <w:ind w:left="1125" w:hanging="360"/>
      </w:pPr>
    </w:lvl>
    <w:lvl w:ilvl="2" w:tplc="0406001B" w:tentative="1">
      <w:start w:val="1"/>
      <w:numFmt w:val="lowerRoman"/>
      <w:lvlText w:val="%3."/>
      <w:lvlJc w:val="right"/>
      <w:pPr>
        <w:ind w:left="1845" w:hanging="180"/>
      </w:pPr>
    </w:lvl>
    <w:lvl w:ilvl="3" w:tplc="0406000F" w:tentative="1">
      <w:start w:val="1"/>
      <w:numFmt w:val="decimal"/>
      <w:lvlText w:val="%4."/>
      <w:lvlJc w:val="left"/>
      <w:pPr>
        <w:ind w:left="2565" w:hanging="360"/>
      </w:pPr>
    </w:lvl>
    <w:lvl w:ilvl="4" w:tplc="04060019" w:tentative="1">
      <w:start w:val="1"/>
      <w:numFmt w:val="lowerLetter"/>
      <w:lvlText w:val="%5."/>
      <w:lvlJc w:val="left"/>
      <w:pPr>
        <w:ind w:left="3285" w:hanging="360"/>
      </w:pPr>
    </w:lvl>
    <w:lvl w:ilvl="5" w:tplc="0406001B" w:tentative="1">
      <w:start w:val="1"/>
      <w:numFmt w:val="lowerRoman"/>
      <w:lvlText w:val="%6."/>
      <w:lvlJc w:val="right"/>
      <w:pPr>
        <w:ind w:left="4005" w:hanging="180"/>
      </w:pPr>
    </w:lvl>
    <w:lvl w:ilvl="6" w:tplc="0406000F" w:tentative="1">
      <w:start w:val="1"/>
      <w:numFmt w:val="decimal"/>
      <w:lvlText w:val="%7."/>
      <w:lvlJc w:val="left"/>
      <w:pPr>
        <w:ind w:left="4725" w:hanging="360"/>
      </w:pPr>
    </w:lvl>
    <w:lvl w:ilvl="7" w:tplc="04060019" w:tentative="1">
      <w:start w:val="1"/>
      <w:numFmt w:val="lowerLetter"/>
      <w:lvlText w:val="%8."/>
      <w:lvlJc w:val="left"/>
      <w:pPr>
        <w:ind w:left="5445" w:hanging="360"/>
      </w:pPr>
    </w:lvl>
    <w:lvl w:ilvl="8" w:tplc="0406001B" w:tentative="1">
      <w:start w:val="1"/>
      <w:numFmt w:val="lowerRoman"/>
      <w:lvlText w:val="%9."/>
      <w:lvlJc w:val="right"/>
      <w:pPr>
        <w:ind w:left="6165" w:hanging="180"/>
      </w:pPr>
    </w:lvl>
  </w:abstractNum>
  <w:abstractNum w:abstractNumId="15" w15:restartNumberingAfterBreak="0">
    <w:nsid w:val="21613493"/>
    <w:multiLevelType w:val="hybridMultilevel"/>
    <w:tmpl w:val="37A874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2D32F61"/>
    <w:multiLevelType w:val="hybridMultilevel"/>
    <w:tmpl w:val="E6DE865A"/>
    <w:lvl w:ilvl="0" w:tplc="E86E8C4C">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23B81314"/>
    <w:multiLevelType w:val="hybridMultilevel"/>
    <w:tmpl w:val="3372F4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C8867A8"/>
    <w:multiLevelType w:val="hybridMultilevel"/>
    <w:tmpl w:val="B1E05860"/>
    <w:lvl w:ilvl="0" w:tplc="E86E8C4C">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E1B0EB5"/>
    <w:multiLevelType w:val="hybridMultilevel"/>
    <w:tmpl w:val="28E897D0"/>
    <w:lvl w:ilvl="0" w:tplc="7FEE60E8">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67EA444B"/>
    <w:multiLevelType w:val="hybridMultilevel"/>
    <w:tmpl w:val="6F2692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803784E"/>
    <w:multiLevelType w:val="hybridMultilevel"/>
    <w:tmpl w:val="4E3A8AB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E5F113A"/>
    <w:multiLevelType w:val="hybridMultilevel"/>
    <w:tmpl w:val="05A04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5235A4"/>
    <w:multiLevelType w:val="hybridMultilevel"/>
    <w:tmpl w:val="32FEB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B62B6A"/>
    <w:multiLevelType w:val="hybridMultilevel"/>
    <w:tmpl w:val="043A663E"/>
    <w:lvl w:ilvl="0" w:tplc="0406000F">
      <w:start w:val="1"/>
      <w:numFmt w:val="decimal"/>
      <w:lvlText w:val="%1."/>
      <w:lvlJc w:val="left"/>
      <w:pPr>
        <w:ind w:left="720" w:hanging="360"/>
      </w:pPr>
    </w:lvl>
    <w:lvl w:ilvl="1" w:tplc="D7EAC05E">
      <w:numFmt w:val="bullet"/>
      <w:lvlText w:val="•"/>
      <w:lvlJc w:val="left"/>
      <w:pPr>
        <w:ind w:left="1440" w:hanging="360"/>
      </w:pPr>
      <w:rPr>
        <w:rFonts w:ascii="Arial" w:eastAsia="Times New Roman" w:hAnsi="Arial" w:cs="Aria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4"/>
  </w:num>
  <w:num w:numId="13">
    <w:abstractNumId w:val="19"/>
  </w:num>
  <w:num w:numId="14">
    <w:abstractNumId w:val="24"/>
  </w:num>
  <w:num w:numId="15">
    <w:abstractNumId w:val="21"/>
  </w:num>
  <w:num w:numId="16">
    <w:abstractNumId w:val="17"/>
  </w:num>
  <w:num w:numId="17">
    <w:abstractNumId w:val="22"/>
  </w:num>
  <w:num w:numId="18">
    <w:abstractNumId w:val="11"/>
  </w:num>
  <w:num w:numId="19">
    <w:abstractNumId w:val="16"/>
  </w:num>
  <w:num w:numId="20">
    <w:abstractNumId w:val="18"/>
  </w:num>
  <w:num w:numId="21">
    <w:abstractNumId w:val="23"/>
  </w:num>
  <w:num w:numId="22">
    <w:abstractNumId w:val="12"/>
  </w:num>
  <w:num w:numId="23">
    <w:abstractNumId w:val="13"/>
  </w:num>
  <w:num w:numId="24">
    <w:abstractNumId w:val="15"/>
  </w:num>
  <w:num w:numId="25">
    <w:abstractNumId w:val="2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c2tbAwNzOxNDU3NjRX0lEKTi0uzszPAykwrAUAXGcrJSwAAAA="/>
  </w:docVars>
  <w:rsids>
    <w:rsidRoot w:val="0002778B"/>
    <w:rsid w:val="000019E0"/>
    <w:rsid w:val="00003FB1"/>
    <w:rsid w:val="00004680"/>
    <w:rsid w:val="000052DA"/>
    <w:rsid w:val="00006204"/>
    <w:rsid w:val="00007704"/>
    <w:rsid w:val="00016E74"/>
    <w:rsid w:val="00022D1C"/>
    <w:rsid w:val="00026C86"/>
    <w:rsid w:val="0002778B"/>
    <w:rsid w:val="00027846"/>
    <w:rsid w:val="00027DEF"/>
    <w:rsid w:val="0004094F"/>
    <w:rsid w:val="000427B3"/>
    <w:rsid w:val="000549ED"/>
    <w:rsid w:val="00070120"/>
    <w:rsid w:val="00071512"/>
    <w:rsid w:val="000804EF"/>
    <w:rsid w:val="00085E06"/>
    <w:rsid w:val="000868E5"/>
    <w:rsid w:val="00091B38"/>
    <w:rsid w:val="00094FE6"/>
    <w:rsid w:val="00097A20"/>
    <w:rsid w:val="000A3B99"/>
    <w:rsid w:val="000A4D4A"/>
    <w:rsid w:val="000A5C61"/>
    <w:rsid w:val="000B1B91"/>
    <w:rsid w:val="000B52AA"/>
    <w:rsid w:val="000B6E6A"/>
    <w:rsid w:val="000C7A11"/>
    <w:rsid w:val="000E0EB4"/>
    <w:rsid w:val="000E3ECB"/>
    <w:rsid w:val="000E4CD2"/>
    <w:rsid w:val="000E6F41"/>
    <w:rsid w:val="000E727C"/>
    <w:rsid w:val="000F08C0"/>
    <w:rsid w:val="000F2680"/>
    <w:rsid w:val="000F6127"/>
    <w:rsid w:val="00101734"/>
    <w:rsid w:val="00103F0A"/>
    <w:rsid w:val="0010614A"/>
    <w:rsid w:val="00107993"/>
    <w:rsid w:val="001217BF"/>
    <w:rsid w:val="00122C18"/>
    <w:rsid w:val="001371D9"/>
    <w:rsid w:val="0014497B"/>
    <w:rsid w:val="00153E10"/>
    <w:rsid w:val="00160C7F"/>
    <w:rsid w:val="0016711F"/>
    <w:rsid w:val="00170A6F"/>
    <w:rsid w:val="001712C6"/>
    <w:rsid w:val="001766A3"/>
    <w:rsid w:val="00176C62"/>
    <w:rsid w:val="00187188"/>
    <w:rsid w:val="00191FEB"/>
    <w:rsid w:val="00196063"/>
    <w:rsid w:val="001A0079"/>
    <w:rsid w:val="001A286E"/>
    <w:rsid w:val="001A6217"/>
    <w:rsid w:val="001B7D4B"/>
    <w:rsid w:val="001C1069"/>
    <w:rsid w:val="001C5B12"/>
    <w:rsid w:val="001D7249"/>
    <w:rsid w:val="001E41A3"/>
    <w:rsid w:val="001F46B6"/>
    <w:rsid w:val="001F6BA4"/>
    <w:rsid w:val="00210761"/>
    <w:rsid w:val="0021268B"/>
    <w:rsid w:val="00214C0B"/>
    <w:rsid w:val="00215323"/>
    <w:rsid w:val="002272D6"/>
    <w:rsid w:val="00227C29"/>
    <w:rsid w:val="00231573"/>
    <w:rsid w:val="00231D6B"/>
    <w:rsid w:val="002329FE"/>
    <w:rsid w:val="002340F6"/>
    <w:rsid w:val="00234D08"/>
    <w:rsid w:val="002449FC"/>
    <w:rsid w:val="00250A7C"/>
    <w:rsid w:val="00251411"/>
    <w:rsid w:val="00251A16"/>
    <w:rsid w:val="00252095"/>
    <w:rsid w:val="00252A78"/>
    <w:rsid w:val="00265274"/>
    <w:rsid w:val="0026639F"/>
    <w:rsid w:val="00274471"/>
    <w:rsid w:val="00275626"/>
    <w:rsid w:val="00282B65"/>
    <w:rsid w:val="0029331C"/>
    <w:rsid w:val="00295BC6"/>
    <w:rsid w:val="002A1542"/>
    <w:rsid w:val="002B3A32"/>
    <w:rsid w:val="002C1FB9"/>
    <w:rsid w:val="002D3B8B"/>
    <w:rsid w:val="002E415A"/>
    <w:rsid w:val="002F0A80"/>
    <w:rsid w:val="002F3C65"/>
    <w:rsid w:val="0030352C"/>
    <w:rsid w:val="003041AA"/>
    <w:rsid w:val="0031011C"/>
    <w:rsid w:val="00310B3B"/>
    <w:rsid w:val="003126AF"/>
    <w:rsid w:val="00312B84"/>
    <w:rsid w:val="003142A6"/>
    <w:rsid w:val="00314900"/>
    <w:rsid w:val="00326C0B"/>
    <w:rsid w:val="00331571"/>
    <w:rsid w:val="0033615E"/>
    <w:rsid w:val="00337048"/>
    <w:rsid w:val="003412B9"/>
    <w:rsid w:val="00344EDB"/>
    <w:rsid w:val="003512F2"/>
    <w:rsid w:val="00352FB2"/>
    <w:rsid w:val="00360A25"/>
    <w:rsid w:val="00365610"/>
    <w:rsid w:val="00365FC1"/>
    <w:rsid w:val="00382548"/>
    <w:rsid w:val="003861E6"/>
    <w:rsid w:val="00387F65"/>
    <w:rsid w:val="003974F2"/>
    <w:rsid w:val="003A0EA8"/>
    <w:rsid w:val="003A2A12"/>
    <w:rsid w:val="003A650E"/>
    <w:rsid w:val="003B2D2A"/>
    <w:rsid w:val="003B3BD7"/>
    <w:rsid w:val="003B6174"/>
    <w:rsid w:val="003C2468"/>
    <w:rsid w:val="003C4D07"/>
    <w:rsid w:val="003C627D"/>
    <w:rsid w:val="003D35AB"/>
    <w:rsid w:val="003D60C7"/>
    <w:rsid w:val="003F1E3A"/>
    <w:rsid w:val="003F28E5"/>
    <w:rsid w:val="003F298A"/>
    <w:rsid w:val="003F4CB1"/>
    <w:rsid w:val="003F58C9"/>
    <w:rsid w:val="00402F58"/>
    <w:rsid w:val="00403DFC"/>
    <w:rsid w:val="004052E2"/>
    <w:rsid w:val="0041385D"/>
    <w:rsid w:val="00424367"/>
    <w:rsid w:val="0043714B"/>
    <w:rsid w:val="00440733"/>
    <w:rsid w:val="00440A7A"/>
    <w:rsid w:val="00440EC8"/>
    <w:rsid w:val="00441219"/>
    <w:rsid w:val="004444DB"/>
    <w:rsid w:val="00447F54"/>
    <w:rsid w:val="0045081B"/>
    <w:rsid w:val="0045294F"/>
    <w:rsid w:val="004718B0"/>
    <w:rsid w:val="0047403F"/>
    <w:rsid w:val="00474351"/>
    <w:rsid w:val="0047615A"/>
    <w:rsid w:val="00481F25"/>
    <w:rsid w:val="004874FB"/>
    <w:rsid w:val="00495D84"/>
    <w:rsid w:val="004A13D1"/>
    <w:rsid w:val="004A1603"/>
    <w:rsid w:val="004A32E0"/>
    <w:rsid w:val="004A39E2"/>
    <w:rsid w:val="004B2EDC"/>
    <w:rsid w:val="004C6125"/>
    <w:rsid w:val="004C6807"/>
    <w:rsid w:val="004D0785"/>
    <w:rsid w:val="004D24F8"/>
    <w:rsid w:val="004D2564"/>
    <w:rsid w:val="004D50B9"/>
    <w:rsid w:val="004E6267"/>
    <w:rsid w:val="004F0842"/>
    <w:rsid w:val="004F2D62"/>
    <w:rsid w:val="004F721C"/>
    <w:rsid w:val="00505102"/>
    <w:rsid w:val="005068CF"/>
    <w:rsid w:val="0051161F"/>
    <w:rsid w:val="00531C2D"/>
    <w:rsid w:val="005335B5"/>
    <w:rsid w:val="00536EA7"/>
    <w:rsid w:val="005411D9"/>
    <w:rsid w:val="00545E7F"/>
    <w:rsid w:val="00552E7C"/>
    <w:rsid w:val="00553D1A"/>
    <w:rsid w:val="00560562"/>
    <w:rsid w:val="0056065C"/>
    <w:rsid w:val="00570E53"/>
    <w:rsid w:val="00571511"/>
    <w:rsid w:val="005A6744"/>
    <w:rsid w:val="005B5823"/>
    <w:rsid w:val="005C3D19"/>
    <w:rsid w:val="005C47A5"/>
    <w:rsid w:val="005D2440"/>
    <w:rsid w:val="005D3656"/>
    <w:rsid w:val="005E3AC2"/>
    <w:rsid w:val="005F0E3A"/>
    <w:rsid w:val="005F5C16"/>
    <w:rsid w:val="005F77E4"/>
    <w:rsid w:val="005F78E4"/>
    <w:rsid w:val="00601555"/>
    <w:rsid w:val="00602C2F"/>
    <w:rsid w:val="00602E7B"/>
    <w:rsid w:val="00603E93"/>
    <w:rsid w:val="00604216"/>
    <w:rsid w:val="006220DD"/>
    <w:rsid w:val="006229DD"/>
    <w:rsid w:val="0062644E"/>
    <w:rsid w:val="00632D3C"/>
    <w:rsid w:val="00633C3F"/>
    <w:rsid w:val="00647A38"/>
    <w:rsid w:val="00653B0E"/>
    <w:rsid w:val="006579A1"/>
    <w:rsid w:val="00657DE9"/>
    <w:rsid w:val="0066367A"/>
    <w:rsid w:val="00667637"/>
    <w:rsid w:val="006701F5"/>
    <w:rsid w:val="006777F3"/>
    <w:rsid w:val="00684E50"/>
    <w:rsid w:val="006858AA"/>
    <w:rsid w:val="00687939"/>
    <w:rsid w:val="00687B07"/>
    <w:rsid w:val="006A6F88"/>
    <w:rsid w:val="006A71ED"/>
    <w:rsid w:val="006B1C93"/>
    <w:rsid w:val="006C01B9"/>
    <w:rsid w:val="006C3F14"/>
    <w:rsid w:val="006D55F3"/>
    <w:rsid w:val="006D6E5B"/>
    <w:rsid w:val="006E070E"/>
    <w:rsid w:val="006E509E"/>
    <w:rsid w:val="006F1244"/>
    <w:rsid w:val="00700897"/>
    <w:rsid w:val="00704063"/>
    <w:rsid w:val="007074ED"/>
    <w:rsid w:val="007108E0"/>
    <w:rsid w:val="00713DFD"/>
    <w:rsid w:val="0071651D"/>
    <w:rsid w:val="00722C07"/>
    <w:rsid w:val="00722FC8"/>
    <w:rsid w:val="007235B4"/>
    <w:rsid w:val="00726B10"/>
    <w:rsid w:val="007333DA"/>
    <w:rsid w:val="007350A2"/>
    <w:rsid w:val="00744FCB"/>
    <w:rsid w:val="00745FF5"/>
    <w:rsid w:val="00747C48"/>
    <w:rsid w:val="007502C1"/>
    <w:rsid w:val="00757AC0"/>
    <w:rsid w:val="00766703"/>
    <w:rsid w:val="00766B09"/>
    <w:rsid w:val="0077174A"/>
    <w:rsid w:val="007718E8"/>
    <w:rsid w:val="007807E7"/>
    <w:rsid w:val="007834A5"/>
    <w:rsid w:val="007842C6"/>
    <w:rsid w:val="00786061"/>
    <w:rsid w:val="0078791E"/>
    <w:rsid w:val="007A104D"/>
    <w:rsid w:val="007A5FF3"/>
    <w:rsid w:val="007A7D69"/>
    <w:rsid w:val="007B6C9E"/>
    <w:rsid w:val="007C591D"/>
    <w:rsid w:val="007C6F18"/>
    <w:rsid w:val="007D4471"/>
    <w:rsid w:val="007E3B41"/>
    <w:rsid w:val="007F0DCC"/>
    <w:rsid w:val="007F4529"/>
    <w:rsid w:val="00803208"/>
    <w:rsid w:val="008044B9"/>
    <w:rsid w:val="0080697A"/>
    <w:rsid w:val="0082223F"/>
    <w:rsid w:val="00822284"/>
    <w:rsid w:val="008360CC"/>
    <w:rsid w:val="00840BA3"/>
    <w:rsid w:val="00843FE3"/>
    <w:rsid w:val="00852787"/>
    <w:rsid w:val="00853E15"/>
    <w:rsid w:val="00856FE7"/>
    <w:rsid w:val="00860BB7"/>
    <w:rsid w:val="00871ABE"/>
    <w:rsid w:val="00872350"/>
    <w:rsid w:val="00876165"/>
    <w:rsid w:val="0087662D"/>
    <w:rsid w:val="00886455"/>
    <w:rsid w:val="008869FA"/>
    <w:rsid w:val="00890F04"/>
    <w:rsid w:val="008935E8"/>
    <w:rsid w:val="008956E9"/>
    <w:rsid w:val="008A1401"/>
    <w:rsid w:val="008A3E43"/>
    <w:rsid w:val="008A6B95"/>
    <w:rsid w:val="008C57F7"/>
    <w:rsid w:val="008D1C8D"/>
    <w:rsid w:val="008E0ED2"/>
    <w:rsid w:val="008E1CFF"/>
    <w:rsid w:val="008E7A3C"/>
    <w:rsid w:val="008F093E"/>
    <w:rsid w:val="008F4EAC"/>
    <w:rsid w:val="008F5D1A"/>
    <w:rsid w:val="00900E59"/>
    <w:rsid w:val="00905573"/>
    <w:rsid w:val="00906DB8"/>
    <w:rsid w:val="00913F8D"/>
    <w:rsid w:val="00914290"/>
    <w:rsid w:val="009209A4"/>
    <w:rsid w:val="00920A5E"/>
    <w:rsid w:val="00923E6C"/>
    <w:rsid w:val="00924116"/>
    <w:rsid w:val="00927C7B"/>
    <w:rsid w:val="009308A9"/>
    <w:rsid w:val="00931559"/>
    <w:rsid w:val="009348A0"/>
    <w:rsid w:val="009354EB"/>
    <w:rsid w:val="0093761C"/>
    <w:rsid w:val="00942943"/>
    <w:rsid w:val="00945C00"/>
    <w:rsid w:val="00947E99"/>
    <w:rsid w:val="00950246"/>
    <w:rsid w:val="00950B6F"/>
    <w:rsid w:val="00961FB6"/>
    <w:rsid w:val="0096241F"/>
    <w:rsid w:val="0096533C"/>
    <w:rsid w:val="00965CFB"/>
    <w:rsid w:val="0097089A"/>
    <w:rsid w:val="00977178"/>
    <w:rsid w:val="00984141"/>
    <w:rsid w:val="00990C46"/>
    <w:rsid w:val="00991791"/>
    <w:rsid w:val="00993047"/>
    <w:rsid w:val="009948CC"/>
    <w:rsid w:val="00996538"/>
    <w:rsid w:val="009A4807"/>
    <w:rsid w:val="009A61A1"/>
    <w:rsid w:val="009B000E"/>
    <w:rsid w:val="009B0834"/>
    <w:rsid w:val="009B42CD"/>
    <w:rsid w:val="009B61D0"/>
    <w:rsid w:val="009C705F"/>
    <w:rsid w:val="009E7FA2"/>
    <w:rsid w:val="009F210B"/>
    <w:rsid w:val="009F262D"/>
    <w:rsid w:val="009F3A48"/>
    <w:rsid w:val="009F3D91"/>
    <w:rsid w:val="00A02024"/>
    <w:rsid w:val="00A14C72"/>
    <w:rsid w:val="00A16CFF"/>
    <w:rsid w:val="00A1762B"/>
    <w:rsid w:val="00A3758D"/>
    <w:rsid w:val="00A43DA9"/>
    <w:rsid w:val="00A43EEF"/>
    <w:rsid w:val="00A50006"/>
    <w:rsid w:val="00A51E26"/>
    <w:rsid w:val="00A55C35"/>
    <w:rsid w:val="00A639EA"/>
    <w:rsid w:val="00A70071"/>
    <w:rsid w:val="00A76E96"/>
    <w:rsid w:val="00A92BD2"/>
    <w:rsid w:val="00AA00BC"/>
    <w:rsid w:val="00AA0E86"/>
    <w:rsid w:val="00AB141F"/>
    <w:rsid w:val="00AB18DF"/>
    <w:rsid w:val="00AC29D7"/>
    <w:rsid w:val="00AC329B"/>
    <w:rsid w:val="00AC7862"/>
    <w:rsid w:val="00AE24C2"/>
    <w:rsid w:val="00AE3D92"/>
    <w:rsid w:val="00B0049A"/>
    <w:rsid w:val="00B0154E"/>
    <w:rsid w:val="00B057D5"/>
    <w:rsid w:val="00B10D8B"/>
    <w:rsid w:val="00B111EA"/>
    <w:rsid w:val="00B24DD0"/>
    <w:rsid w:val="00B30860"/>
    <w:rsid w:val="00B4015C"/>
    <w:rsid w:val="00B44307"/>
    <w:rsid w:val="00B47B31"/>
    <w:rsid w:val="00B526AB"/>
    <w:rsid w:val="00B54907"/>
    <w:rsid w:val="00B55F03"/>
    <w:rsid w:val="00B65371"/>
    <w:rsid w:val="00B82266"/>
    <w:rsid w:val="00B84966"/>
    <w:rsid w:val="00B915F2"/>
    <w:rsid w:val="00BB2C18"/>
    <w:rsid w:val="00BB50F7"/>
    <w:rsid w:val="00BB5E3D"/>
    <w:rsid w:val="00BC36AF"/>
    <w:rsid w:val="00BC4EA1"/>
    <w:rsid w:val="00BC5317"/>
    <w:rsid w:val="00BC5DCD"/>
    <w:rsid w:val="00BD4406"/>
    <w:rsid w:val="00BD4B89"/>
    <w:rsid w:val="00BD7AD1"/>
    <w:rsid w:val="00BE05A0"/>
    <w:rsid w:val="00BE2F64"/>
    <w:rsid w:val="00C0007C"/>
    <w:rsid w:val="00C00CC4"/>
    <w:rsid w:val="00C02B12"/>
    <w:rsid w:val="00C02FB0"/>
    <w:rsid w:val="00C02FC5"/>
    <w:rsid w:val="00C06524"/>
    <w:rsid w:val="00C10F47"/>
    <w:rsid w:val="00C136F1"/>
    <w:rsid w:val="00C1489C"/>
    <w:rsid w:val="00C20D1A"/>
    <w:rsid w:val="00C235D4"/>
    <w:rsid w:val="00C2362F"/>
    <w:rsid w:val="00C24681"/>
    <w:rsid w:val="00C26FCF"/>
    <w:rsid w:val="00C355E3"/>
    <w:rsid w:val="00C35C85"/>
    <w:rsid w:val="00C43145"/>
    <w:rsid w:val="00C64209"/>
    <w:rsid w:val="00C74627"/>
    <w:rsid w:val="00C822FF"/>
    <w:rsid w:val="00C83AF5"/>
    <w:rsid w:val="00C86BC7"/>
    <w:rsid w:val="00C97158"/>
    <w:rsid w:val="00C97454"/>
    <w:rsid w:val="00CB239D"/>
    <w:rsid w:val="00CB4D9E"/>
    <w:rsid w:val="00CB5E65"/>
    <w:rsid w:val="00CB65A4"/>
    <w:rsid w:val="00CC3429"/>
    <w:rsid w:val="00CC401C"/>
    <w:rsid w:val="00CC6A48"/>
    <w:rsid w:val="00CC769C"/>
    <w:rsid w:val="00CD34EA"/>
    <w:rsid w:val="00CD3E86"/>
    <w:rsid w:val="00CE681F"/>
    <w:rsid w:val="00CF1BDF"/>
    <w:rsid w:val="00CF1D7C"/>
    <w:rsid w:val="00CF5E74"/>
    <w:rsid w:val="00CF6281"/>
    <w:rsid w:val="00D02F16"/>
    <w:rsid w:val="00D04009"/>
    <w:rsid w:val="00D04E4C"/>
    <w:rsid w:val="00D106B2"/>
    <w:rsid w:val="00D127D7"/>
    <w:rsid w:val="00D20C1A"/>
    <w:rsid w:val="00D221B4"/>
    <w:rsid w:val="00D2313C"/>
    <w:rsid w:val="00D32E8B"/>
    <w:rsid w:val="00D3469D"/>
    <w:rsid w:val="00D35374"/>
    <w:rsid w:val="00D404E2"/>
    <w:rsid w:val="00D416FC"/>
    <w:rsid w:val="00D50D53"/>
    <w:rsid w:val="00D534D0"/>
    <w:rsid w:val="00D55183"/>
    <w:rsid w:val="00D5540B"/>
    <w:rsid w:val="00D655FD"/>
    <w:rsid w:val="00D71851"/>
    <w:rsid w:val="00D73C6C"/>
    <w:rsid w:val="00D76BFE"/>
    <w:rsid w:val="00D97899"/>
    <w:rsid w:val="00DA210B"/>
    <w:rsid w:val="00DA301B"/>
    <w:rsid w:val="00DA7F86"/>
    <w:rsid w:val="00DB1BC5"/>
    <w:rsid w:val="00DB637E"/>
    <w:rsid w:val="00DB65A2"/>
    <w:rsid w:val="00DC0C7A"/>
    <w:rsid w:val="00DC349A"/>
    <w:rsid w:val="00DC3CF7"/>
    <w:rsid w:val="00DD1ED2"/>
    <w:rsid w:val="00DE0914"/>
    <w:rsid w:val="00DE4959"/>
    <w:rsid w:val="00DE7C73"/>
    <w:rsid w:val="00DF20A6"/>
    <w:rsid w:val="00DF6300"/>
    <w:rsid w:val="00E01555"/>
    <w:rsid w:val="00E0206A"/>
    <w:rsid w:val="00E02F2C"/>
    <w:rsid w:val="00E11C0C"/>
    <w:rsid w:val="00E140B5"/>
    <w:rsid w:val="00E2178F"/>
    <w:rsid w:val="00E3200E"/>
    <w:rsid w:val="00E46F0A"/>
    <w:rsid w:val="00E47CA7"/>
    <w:rsid w:val="00E51697"/>
    <w:rsid w:val="00E56180"/>
    <w:rsid w:val="00E6134B"/>
    <w:rsid w:val="00E625F7"/>
    <w:rsid w:val="00E64C36"/>
    <w:rsid w:val="00E66E62"/>
    <w:rsid w:val="00E70803"/>
    <w:rsid w:val="00E74D79"/>
    <w:rsid w:val="00E810BA"/>
    <w:rsid w:val="00E827B1"/>
    <w:rsid w:val="00E86923"/>
    <w:rsid w:val="00E87642"/>
    <w:rsid w:val="00E97621"/>
    <w:rsid w:val="00E97D07"/>
    <w:rsid w:val="00EA5000"/>
    <w:rsid w:val="00EA5BDE"/>
    <w:rsid w:val="00EB3025"/>
    <w:rsid w:val="00EB3B8B"/>
    <w:rsid w:val="00EB4571"/>
    <w:rsid w:val="00EC53CB"/>
    <w:rsid w:val="00ED1681"/>
    <w:rsid w:val="00ED3C02"/>
    <w:rsid w:val="00ED4E1F"/>
    <w:rsid w:val="00ED5C27"/>
    <w:rsid w:val="00EE28C3"/>
    <w:rsid w:val="00EE54A7"/>
    <w:rsid w:val="00EE5F65"/>
    <w:rsid w:val="00EE7C18"/>
    <w:rsid w:val="00EF186F"/>
    <w:rsid w:val="00EF2433"/>
    <w:rsid w:val="00EF4989"/>
    <w:rsid w:val="00EF5DE9"/>
    <w:rsid w:val="00F0095E"/>
    <w:rsid w:val="00F01F05"/>
    <w:rsid w:val="00F109E9"/>
    <w:rsid w:val="00F17345"/>
    <w:rsid w:val="00F20B1F"/>
    <w:rsid w:val="00F26576"/>
    <w:rsid w:val="00F3501B"/>
    <w:rsid w:val="00F3667F"/>
    <w:rsid w:val="00F37C9F"/>
    <w:rsid w:val="00F61794"/>
    <w:rsid w:val="00F707A8"/>
    <w:rsid w:val="00F751B1"/>
    <w:rsid w:val="00F82184"/>
    <w:rsid w:val="00F824B6"/>
    <w:rsid w:val="00F87C8A"/>
    <w:rsid w:val="00F92FD0"/>
    <w:rsid w:val="00FA00CA"/>
    <w:rsid w:val="00FA4A5A"/>
    <w:rsid w:val="00FA5D4B"/>
    <w:rsid w:val="00FA5FF9"/>
    <w:rsid w:val="00FB2842"/>
    <w:rsid w:val="00FB2EAA"/>
    <w:rsid w:val="00FB736D"/>
    <w:rsid w:val="00FC2F35"/>
    <w:rsid w:val="00FD209E"/>
    <w:rsid w:val="00FD6B51"/>
    <w:rsid w:val="00FD71D7"/>
    <w:rsid w:val="00FF0850"/>
    <w:rsid w:val="00FF2986"/>
    <w:rsid w:val="00FF3CF2"/>
    <w:rsid w:val="00FF4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F3C9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73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qFormat/>
    <w:rsid w:val="00786061"/>
    <w:pPr>
      <w:tabs>
        <w:tab w:val="left" w:pos="1559"/>
        <w:tab w:val="left" w:pos="1985"/>
      </w:tabs>
      <w:spacing w:after="200" w:line="240" w:lineRule="atLeast"/>
      <w:ind w:left="1134"/>
      <w:jc w:val="both"/>
    </w:pPr>
    <w:rPr>
      <w:rFonts w:ascii="Arial" w:hAnsi="Arial"/>
      <w:szCs w:val="22"/>
    </w:rPr>
  </w:style>
  <w:style w:type="character" w:customStyle="1" w:styleId="BodyTextChar">
    <w:name w:val="Body Text Char"/>
    <w:basedOn w:val="DefaultParagraphFont"/>
    <w:link w:val="BodyText"/>
    <w:rsid w:val="00786061"/>
    <w:rPr>
      <w:rFonts w:ascii="Arial" w:hAnsi="Arial"/>
      <w:szCs w:val="22"/>
    </w:rPr>
  </w:style>
  <w:style w:type="table" w:styleId="TableGrid">
    <w:name w:val="Table Grid"/>
    <w:basedOn w:val="TableNormal"/>
    <w:rsid w:val="0002778B"/>
    <w:rPr>
      <w:rFonts w:ascii="Times New Roman" w:eastAsia="Times New Roman" w:hAnsi="Times New Roman" w:cs="Times New Roman"/>
      <w:sz w:val="20"/>
      <w:szCs w:val="20"/>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2D62"/>
    <w:rPr>
      <w:color w:val="0563C1" w:themeColor="hyperlink"/>
      <w:u w:val="single"/>
    </w:rPr>
  </w:style>
  <w:style w:type="paragraph" w:styleId="FootnoteText">
    <w:name w:val="footnote text"/>
    <w:basedOn w:val="Normal"/>
    <w:link w:val="FootnoteTextChar"/>
    <w:uiPriority w:val="99"/>
    <w:unhideWhenUsed/>
    <w:rsid w:val="002F3C65"/>
  </w:style>
  <w:style w:type="character" w:customStyle="1" w:styleId="FootnoteTextChar">
    <w:name w:val="Footnote Text Char"/>
    <w:basedOn w:val="DefaultParagraphFont"/>
    <w:link w:val="FootnoteText"/>
    <w:uiPriority w:val="99"/>
    <w:rsid w:val="002F3C65"/>
  </w:style>
  <w:style w:type="character" w:styleId="FootnoteReference">
    <w:name w:val="footnote reference"/>
    <w:basedOn w:val="DefaultParagraphFont"/>
    <w:uiPriority w:val="99"/>
    <w:unhideWhenUsed/>
    <w:rsid w:val="002F3C65"/>
    <w:rPr>
      <w:vertAlign w:val="superscript"/>
    </w:rPr>
  </w:style>
  <w:style w:type="paragraph" w:styleId="Footer">
    <w:name w:val="footer"/>
    <w:basedOn w:val="Normal"/>
    <w:link w:val="FooterChar"/>
    <w:uiPriority w:val="99"/>
    <w:unhideWhenUsed/>
    <w:rsid w:val="002F3C65"/>
    <w:pPr>
      <w:tabs>
        <w:tab w:val="center" w:pos="4513"/>
        <w:tab w:val="right" w:pos="9026"/>
      </w:tabs>
    </w:pPr>
  </w:style>
  <w:style w:type="character" w:customStyle="1" w:styleId="FooterChar">
    <w:name w:val="Footer Char"/>
    <w:basedOn w:val="DefaultParagraphFont"/>
    <w:link w:val="Footer"/>
    <w:uiPriority w:val="99"/>
    <w:rsid w:val="002F3C65"/>
  </w:style>
  <w:style w:type="character" w:styleId="FollowedHyperlink">
    <w:name w:val="FollowedHyperlink"/>
    <w:basedOn w:val="DefaultParagraphFont"/>
    <w:uiPriority w:val="99"/>
    <w:semiHidden/>
    <w:unhideWhenUsed/>
    <w:rsid w:val="00387F65"/>
    <w:rPr>
      <w:color w:val="954F72" w:themeColor="followedHyperlink"/>
      <w:u w:val="single"/>
    </w:rPr>
  </w:style>
  <w:style w:type="paragraph" w:styleId="Header">
    <w:name w:val="header"/>
    <w:basedOn w:val="Normal"/>
    <w:link w:val="HeaderChar"/>
    <w:uiPriority w:val="99"/>
    <w:unhideWhenUsed/>
    <w:rsid w:val="00FF0850"/>
    <w:pPr>
      <w:tabs>
        <w:tab w:val="center" w:pos="4513"/>
        <w:tab w:val="right" w:pos="9026"/>
      </w:tabs>
    </w:pPr>
  </w:style>
  <w:style w:type="character" w:customStyle="1" w:styleId="HeaderChar">
    <w:name w:val="Header Char"/>
    <w:basedOn w:val="DefaultParagraphFont"/>
    <w:link w:val="Header"/>
    <w:uiPriority w:val="99"/>
    <w:rsid w:val="00FF0850"/>
  </w:style>
  <w:style w:type="character" w:styleId="CommentReference">
    <w:name w:val="annotation reference"/>
    <w:basedOn w:val="DefaultParagraphFont"/>
    <w:uiPriority w:val="99"/>
    <w:semiHidden/>
    <w:unhideWhenUsed/>
    <w:rsid w:val="003C4D07"/>
    <w:rPr>
      <w:sz w:val="16"/>
      <w:szCs w:val="16"/>
    </w:rPr>
  </w:style>
  <w:style w:type="paragraph" w:styleId="CommentText">
    <w:name w:val="annotation text"/>
    <w:basedOn w:val="Normal"/>
    <w:link w:val="CommentTextChar"/>
    <w:uiPriority w:val="99"/>
    <w:unhideWhenUsed/>
    <w:rsid w:val="003C4D07"/>
    <w:rPr>
      <w:sz w:val="20"/>
      <w:szCs w:val="20"/>
    </w:rPr>
  </w:style>
  <w:style w:type="character" w:customStyle="1" w:styleId="CommentTextChar">
    <w:name w:val="Comment Text Char"/>
    <w:basedOn w:val="DefaultParagraphFont"/>
    <w:link w:val="CommentText"/>
    <w:uiPriority w:val="99"/>
    <w:rsid w:val="003C4D07"/>
    <w:rPr>
      <w:sz w:val="20"/>
      <w:szCs w:val="20"/>
    </w:rPr>
  </w:style>
  <w:style w:type="paragraph" w:styleId="CommentSubject">
    <w:name w:val="annotation subject"/>
    <w:basedOn w:val="CommentText"/>
    <w:next w:val="CommentText"/>
    <w:link w:val="CommentSubjectChar"/>
    <w:uiPriority w:val="99"/>
    <w:semiHidden/>
    <w:unhideWhenUsed/>
    <w:rsid w:val="003C4D07"/>
    <w:rPr>
      <w:b/>
      <w:bCs/>
    </w:rPr>
  </w:style>
  <w:style w:type="character" w:customStyle="1" w:styleId="CommentSubjectChar">
    <w:name w:val="Comment Subject Char"/>
    <w:basedOn w:val="CommentTextChar"/>
    <w:link w:val="CommentSubject"/>
    <w:uiPriority w:val="99"/>
    <w:semiHidden/>
    <w:rsid w:val="003C4D07"/>
    <w:rPr>
      <w:b/>
      <w:bCs/>
      <w:sz w:val="20"/>
      <w:szCs w:val="20"/>
    </w:rPr>
  </w:style>
  <w:style w:type="paragraph" w:styleId="BalloonText">
    <w:name w:val="Balloon Text"/>
    <w:basedOn w:val="Normal"/>
    <w:link w:val="BalloonTextChar"/>
    <w:uiPriority w:val="99"/>
    <w:semiHidden/>
    <w:unhideWhenUsed/>
    <w:rsid w:val="003C4D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D07"/>
    <w:rPr>
      <w:rFonts w:ascii="Segoe UI" w:hAnsi="Segoe UI" w:cs="Segoe UI"/>
      <w:sz w:val="18"/>
      <w:szCs w:val="18"/>
    </w:rPr>
  </w:style>
  <w:style w:type="paragraph" w:customStyle="1" w:styleId="Default">
    <w:name w:val="Default"/>
    <w:rsid w:val="00006204"/>
    <w:pPr>
      <w:autoSpaceDE w:val="0"/>
      <w:autoSpaceDN w:val="0"/>
      <w:adjustRightInd w:val="0"/>
    </w:pPr>
    <w:rPr>
      <w:rFonts w:ascii="Calibri" w:hAnsi="Calibri" w:cs="Calibri"/>
      <w:color w:val="000000"/>
      <w:lang w:val="da-DK"/>
    </w:rPr>
  </w:style>
  <w:style w:type="table" w:styleId="GridTable5Dark-Accent6">
    <w:name w:val="Grid Table 5 Dark Accent 6"/>
    <w:basedOn w:val="TableNormal"/>
    <w:uiPriority w:val="50"/>
    <w:rsid w:val="00853E1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5Dark-Accent1">
    <w:name w:val="Grid Table 5 Dark Accent 1"/>
    <w:basedOn w:val="TableNormal"/>
    <w:uiPriority w:val="50"/>
    <w:rsid w:val="00853E1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UnresolvedMention1">
    <w:name w:val="Unresolved Mention1"/>
    <w:basedOn w:val="DefaultParagraphFont"/>
    <w:uiPriority w:val="99"/>
    <w:rsid w:val="00945C00"/>
    <w:rPr>
      <w:color w:val="808080"/>
      <w:shd w:val="clear" w:color="auto" w:fill="E6E6E6"/>
    </w:rPr>
  </w:style>
  <w:style w:type="paragraph" w:styleId="ListParagraph">
    <w:name w:val="List Paragraph"/>
    <w:basedOn w:val="Normal"/>
    <w:uiPriority w:val="34"/>
    <w:qFormat/>
    <w:rsid w:val="00F87C8A"/>
    <w:pPr>
      <w:ind w:left="720"/>
      <w:contextualSpacing/>
    </w:pPr>
  </w:style>
  <w:style w:type="paragraph" w:styleId="NormalWeb">
    <w:name w:val="Normal (Web)"/>
    <w:basedOn w:val="Normal"/>
    <w:uiPriority w:val="99"/>
    <w:unhideWhenUsed/>
    <w:rsid w:val="006F1244"/>
    <w:pPr>
      <w:spacing w:before="100" w:beforeAutospacing="1" w:after="100" w:afterAutospacing="1"/>
    </w:pPr>
    <w:rPr>
      <w:rFonts w:ascii="Times New Roman" w:eastAsia="Times New Roman" w:hAnsi="Times New Roman" w:cs="Times New Roman"/>
      <w:lang w:val="da-DK" w:eastAsia="da-DK"/>
    </w:rPr>
  </w:style>
  <w:style w:type="character" w:styleId="UnresolvedMention">
    <w:name w:val="Unresolved Mention"/>
    <w:basedOn w:val="DefaultParagraphFont"/>
    <w:uiPriority w:val="99"/>
    <w:semiHidden/>
    <w:unhideWhenUsed/>
    <w:rsid w:val="003142A6"/>
    <w:rPr>
      <w:color w:val="605E5C"/>
      <w:shd w:val="clear" w:color="auto" w:fill="E1DFDD"/>
    </w:rPr>
  </w:style>
  <w:style w:type="paragraph" w:styleId="Revision">
    <w:name w:val="Revision"/>
    <w:hidden/>
    <w:uiPriority w:val="99"/>
    <w:semiHidden/>
    <w:rsid w:val="00C02FB0"/>
  </w:style>
  <w:style w:type="table" w:styleId="GridTable4-Accent1">
    <w:name w:val="Grid Table 4 Accent 1"/>
    <w:basedOn w:val="TableNormal"/>
    <w:uiPriority w:val="49"/>
    <w:rsid w:val="005411D9"/>
    <w:rPr>
      <w:sz w:val="22"/>
      <w:szCs w:val="22"/>
      <w:lang w:val="da-DK"/>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PlaceholderText">
    <w:name w:val="Placeholder Text"/>
    <w:basedOn w:val="DefaultParagraphFont"/>
    <w:uiPriority w:val="99"/>
    <w:semiHidden/>
    <w:rsid w:val="00214C0B"/>
    <w:rPr>
      <w:color w:val="808080"/>
    </w:rPr>
  </w:style>
  <w:style w:type="table" w:styleId="GridTable4-Accent2">
    <w:name w:val="Grid Table 4 Accent 2"/>
    <w:basedOn w:val="TableNormal"/>
    <w:uiPriority w:val="49"/>
    <w:rsid w:val="00231573"/>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970">
      <w:bodyDiv w:val="1"/>
      <w:marLeft w:val="0"/>
      <w:marRight w:val="0"/>
      <w:marTop w:val="0"/>
      <w:marBottom w:val="0"/>
      <w:divBdr>
        <w:top w:val="none" w:sz="0" w:space="0" w:color="auto"/>
        <w:left w:val="none" w:sz="0" w:space="0" w:color="auto"/>
        <w:bottom w:val="none" w:sz="0" w:space="0" w:color="auto"/>
        <w:right w:val="none" w:sz="0" w:space="0" w:color="auto"/>
      </w:divBdr>
    </w:div>
    <w:div w:id="31804320">
      <w:bodyDiv w:val="1"/>
      <w:marLeft w:val="0"/>
      <w:marRight w:val="0"/>
      <w:marTop w:val="0"/>
      <w:marBottom w:val="0"/>
      <w:divBdr>
        <w:top w:val="none" w:sz="0" w:space="0" w:color="auto"/>
        <w:left w:val="none" w:sz="0" w:space="0" w:color="auto"/>
        <w:bottom w:val="none" w:sz="0" w:space="0" w:color="auto"/>
        <w:right w:val="none" w:sz="0" w:space="0" w:color="auto"/>
      </w:divBdr>
    </w:div>
    <w:div w:id="43987299">
      <w:bodyDiv w:val="1"/>
      <w:marLeft w:val="0"/>
      <w:marRight w:val="0"/>
      <w:marTop w:val="0"/>
      <w:marBottom w:val="0"/>
      <w:divBdr>
        <w:top w:val="none" w:sz="0" w:space="0" w:color="auto"/>
        <w:left w:val="none" w:sz="0" w:space="0" w:color="auto"/>
        <w:bottom w:val="none" w:sz="0" w:space="0" w:color="auto"/>
        <w:right w:val="none" w:sz="0" w:space="0" w:color="auto"/>
      </w:divBdr>
    </w:div>
    <w:div w:id="52698256">
      <w:bodyDiv w:val="1"/>
      <w:marLeft w:val="0"/>
      <w:marRight w:val="0"/>
      <w:marTop w:val="0"/>
      <w:marBottom w:val="0"/>
      <w:divBdr>
        <w:top w:val="none" w:sz="0" w:space="0" w:color="auto"/>
        <w:left w:val="none" w:sz="0" w:space="0" w:color="auto"/>
        <w:bottom w:val="none" w:sz="0" w:space="0" w:color="auto"/>
        <w:right w:val="none" w:sz="0" w:space="0" w:color="auto"/>
      </w:divBdr>
    </w:div>
    <w:div w:id="72552118">
      <w:bodyDiv w:val="1"/>
      <w:marLeft w:val="0"/>
      <w:marRight w:val="0"/>
      <w:marTop w:val="0"/>
      <w:marBottom w:val="0"/>
      <w:divBdr>
        <w:top w:val="none" w:sz="0" w:space="0" w:color="auto"/>
        <w:left w:val="none" w:sz="0" w:space="0" w:color="auto"/>
        <w:bottom w:val="none" w:sz="0" w:space="0" w:color="auto"/>
        <w:right w:val="none" w:sz="0" w:space="0" w:color="auto"/>
      </w:divBdr>
    </w:div>
    <w:div w:id="116336303">
      <w:bodyDiv w:val="1"/>
      <w:marLeft w:val="0"/>
      <w:marRight w:val="0"/>
      <w:marTop w:val="0"/>
      <w:marBottom w:val="0"/>
      <w:divBdr>
        <w:top w:val="none" w:sz="0" w:space="0" w:color="auto"/>
        <w:left w:val="none" w:sz="0" w:space="0" w:color="auto"/>
        <w:bottom w:val="none" w:sz="0" w:space="0" w:color="auto"/>
        <w:right w:val="none" w:sz="0" w:space="0" w:color="auto"/>
      </w:divBdr>
    </w:div>
    <w:div w:id="122233153">
      <w:bodyDiv w:val="1"/>
      <w:marLeft w:val="0"/>
      <w:marRight w:val="0"/>
      <w:marTop w:val="0"/>
      <w:marBottom w:val="0"/>
      <w:divBdr>
        <w:top w:val="none" w:sz="0" w:space="0" w:color="auto"/>
        <w:left w:val="none" w:sz="0" w:space="0" w:color="auto"/>
        <w:bottom w:val="none" w:sz="0" w:space="0" w:color="auto"/>
        <w:right w:val="none" w:sz="0" w:space="0" w:color="auto"/>
      </w:divBdr>
    </w:div>
    <w:div w:id="223882320">
      <w:bodyDiv w:val="1"/>
      <w:marLeft w:val="0"/>
      <w:marRight w:val="0"/>
      <w:marTop w:val="0"/>
      <w:marBottom w:val="0"/>
      <w:divBdr>
        <w:top w:val="none" w:sz="0" w:space="0" w:color="auto"/>
        <w:left w:val="none" w:sz="0" w:space="0" w:color="auto"/>
        <w:bottom w:val="none" w:sz="0" w:space="0" w:color="auto"/>
        <w:right w:val="none" w:sz="0" w:space="0" w:color="auto"/>
      </w:divBdr>
    </w:div>
    <w:div w:id="377240026">
      <w:bodyDiv w:val="1"/>
      <w:marLeft w:val="0"/>
      <w:marRight w:val="0"/>
      <w:marTop w:val="0"/>
      <w:marBottom w:val="0"/>
      <w:divBdr>
        <w:top w:val="none" w:sz="0" w:space="0" w:color="auto"/>
        <w:left w:val="none" w:sz="0" w:space="0" w:color="auto"/>
        <w:bottom w:val="none" w:sz="0" w:space="0" w:color="auto"/>
        <w:right w:val="none" w:sz="0" w:space="0" w:color="auto"/>
      </w:divBdr>
    </w:div>
    <w:div w:id="381757292">
      <w:bodyDiv w:val="1"/>
      <w:marLeft w:val="0"/>
      <w:marRight w:val="0"/>
      <w:marTop w:val="0"/>
      <w:marBottom w:val="0"/>
      <w:divBdr>
        <w:top w:val="none" w:sz="0" w:space="0" w:color="auto"/>
        <w:left w:val="none" w:sz="0" w:space="0" w:color="auto"/>
        <w:bottom w:val="none" w:sz="0" w:space="0" w:color="auto"/>
        <w:right w:val="none" w:sz="0" w:space="0" w:color="auto"/>
      </w:divBdr>
    </w:div>
    <w:div w:id="391735515">
      <w:bodyDiv w:val="1"/>
      <w:marLeft w:val="0"/>
      <w:marRight w:val="0"/>
      <w:marTop w:val="0"/>
      <w:marBottom w:val="0"/>
      <w:divBdr>
        <w:top w:val="none" w:sz="0" w:space="0" w:color="auto"/>
        <w:left w:val="none" w:sz="0" w:space="0" w:color="auto"/>
        <w:bottom w:val="none" w:sz="0" w:space="0" w:color="auto"/>
        <w:right w:val="none" w:sz="0" w:space="0" w:color="auto"/>
      </w:divBdr>
    </w:div>
    <w:div w:id="518129770">
      <w:bodyDiv w:val="1"/>
      <w:marLeft w:val="0"/>
      <w:marRight w:val="0"/>
      <w:marTop w:val="0"/>
      <w:marBottom w:val="0"/>
      <w:divBdr>
        <w:top w:val="none" w:sz="0" w:space="0" w:color="auto"/>
        <w:left w:val="none" w:sz="0" w:space="0" w:color="auto"/>
        <w:bottom w:val="none" w:sz="0" w:space="0" w:color="auto"/>
        <w:right w:val="none" w:sz="0" w:space="0" w:color="auto"/>
      </w:divBdr>
    </w:div>
    <w:div w:id="531652070">
      <w:bodyDiv w:val="1"/>
      <w:marLeft w:val="0"/>
      <w:marRight w:val="0"/>
      <w:marTop w:val="0"/>
      <w:marBottom w:val="0"/>
      <w:divBdr>
        <w:top w:val="none" w:sz="0" w:space="0" w:color="auto"/>
        <w:left w:val="none" w:sz="0" w:space="0" w:color="auto"/>
        <w:bottom w:val="none" w:sz="0" w:space="0" w:color="auto"/>
        <w:right w:val="none" w:sz="0" w:space="0" w:color="auto"/>
      </w:divBdr>
      <w:divsChild>
        <w:div w:id="587661496">
          <w:marLeft w:val="0"/>
          <w:marRight w:val="0"/>
          <w:marTop w:val="0"/>
          <w:marBottom w:val="0"/>
          <w:divBdr>
            <w:top w:val="none" w:sz="0" w:space="0" w:color="auto"/>
            <w:left w:val="none" w:sz="0" w:space="0" w:color="auto"/>
            <w:bottom w:val="none" w:sz="0" w:space="0" w:color="auto"/>
            <w:right w:val="none" w:sz="0" w:space="0" w:color="auto"/>
          </w:divBdr>
          <w:divsChild>
            <w:div w:id="1318723347">
              <w:marLeft w:val="0"/>
              <w:marRight w:val="0"/>
              <w:marTop w:val="0"/>
              <w:marBottom w:val="0"/>
              <w:divBdr>
                <w:top w:val="none" w:sz="0" w:space="0" w:color="auto"/>
                <w:left w:val="none" w:sz="0" w:space="0" w:color="auto"/>
                <w:bottom w:val="none" w:sz="0" w:space="0" w:color="auto"/>
                <w:right w:val="none" w:sz="0" w:space="0" w:color="auto"/>
              </w:divBdr>
              <w:divsChild>
                <w:div w:id="1862668858">
                  <w:marLeft w:val="0"/>
                  <w:marRight w:val="0"/>
                  <w:marTop w:val="0"/>
                  <w:marBottom w:val="0"/>
                  <w:divBdr>
                    <w:top w:val="none" w:sz="0" w:space="0" w:color="auto"/>
                    <w:left w:val="none" w:sz="0" w:space="0" w:color="auto"/>
                    <w:bottom w:val="none" w:sz="0" w:space="0" w:color="auto"/>
                    <w:right w:val="none" w:sz="0" w:space="0" w:color="auto"/>
                  </w:divBdr>
                  <w:divsChild>
                    <w:div w:id="119141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374098">
      <w:bodyDiv w:val="1"/>
      <w:marLeft w:val="0"/>
      <w:marRight w:val="0"/>
      <w:marTop w:val="0"/>
      <w:marBottom w:val="0"/>
      <w:divBdr>
        <w:top w:val="none" w:sz="0" w:space="0" w:color="auto"/>
        <w:left w:val="none" w:sz="0" w:space="0" w:color="auto"/>
        <w:bottom w:val="none" w:sz="0" w:space="0" w:color="auto"/>
        <w:right w:val="none" w:sz="0" w:space="0" w:color="auto"/>
      </w:divBdr>
    </w:div>
    <w:div w:id="565067729">
      <w:bodyDiv w:val="1"/>
      <w:marLeft w:val="0"/>
      <w:marRight w:val="0"/>
      <w:marTop w:val="0"/>
      <w:marBottom w:val="0"/>
      <w:divBdr>
        <w:top w:val="none" w:sz="0" w:space="0" w:color="auto"/>
        <w:left w:val="none" w:sz="0" w:space="0" w:color="auto"/>
        <w:bottom w:val="none" w:sz="0" w:space="0" w:color="auto"/>
        <w:right w:val="none" w:sz="0" w:space="0" w:color="auto"/>
      </w:divBdr>
    </w:div>
    <w:div w:id="576129553">
      <w:bodyDiv w:val="1"/>
      <w:marLeft w:val="0"/>
      <w:marRight w:val="0"/>
      <w:marTop w:val="0"/>
      <w:marBottom w:val="0"/>
      <w:divBdr>
        <w:top w:val="none" w:sz="0" w:space="0" w:color="auto"/>
        <w:left w:val="none" w:sz="0" w:space="0" w:color="auto"/>
        <w:bottom w:val="none" w:sz="0" w:space="0" w:color="auto"/>
        <w:right w:val="none" w:sz="0" w:space="0" w:color="auto"/>
      </w:divBdr>
    </w:div>
    <w:div w:id="632444287">
      <w:bodyDiv w:val="1"/>
      <w:marLeft w:val="0"/>
      <w:marRight w:val="0"/>
      <w:marTop w:val="0"/>
      <w:marBottom w:val="0"/>
      <w:divBdr>
        <w:top w:val="none" w:sz="0" w:space="0" w:color="auto"/>
        <w:left w:val="none" w:sz="0" w:space="0" w:color="auto"/>
        <w:bottom w:val="none" w:sz="0" w:space="0" w:color="auto"/>
        <w:right w:val="none" w:sz="0" w:space="0" w:color="auto"/>
      </w:divBdr>
    </w:div>
    <w:div w:id="656609997">
      <w:bodyDiv w:val="1"/>
      <w:marLeft w:val="0"/>
      <w:marRight w:val="0"/>
      <w:marTop w:val="0"/>
      <w:marBottom w:val="0"/>
      <w:divBdr>
        <w:top w:val="none" w:sz="0" w:space="0" w:color="auto"/>
        <w:left w:val="none" w:sz="0" w:space="0" w:color="auto"/>
        <w:bottom w:val="none" w:sz="0" w:space="0" w:color="auto"/>
        <w:right w:val="none" w:sz="0" w:space="0" w:color="auto"/>
      </w:divBdr>
    </w:div>
    <w:div w:id="667247643">
      <w:bodyDiv w:val="1"/>
      <w:marLeft w:val="0"/>
      <w:marRight w:val="0"/>
      <w:marTop w:val="0"/>
      <w:marBottom w:val="0"/>
      <w:divBdr>
        <w:top w:val="none" w:sz="0" w:space="0" w:color="auto"/>
        <w:left w:val="none" w:sz="0" w:space="0" w:color="auto"/>
        <w:bottom w:val="none" w:sz="0" w:space="0" w:color="auto"/>
        <w:right w:val="none" w:sz="0" w:space="0" w:color="auto"/>
      </w:divBdr>
    </w:div>
    <w:div w:id="669479230">
      <w:bodyDiv w:val="1"/>
      <w:marLeft w:val="0"/>
      <w:marRight w:val="0"/>
      <w:marTop w:val="0"/>
      <w:marBottom w:val="0"/>
      <w:divBdr>
        <w:top w:val="none" w:sz="0" w:space="0" w:color="auto"/>
        <w:left w:val="none" w:sz="0" w:space="0" w:color="auto"/>
        <w:bottom w:val="none" w:sz="0" w:space="0" w:color="auto"/>
        <w:right w:val="none" w:sz="0" w:space="0" w:color="auto"/>
      </w:divBdr>
    </w:div>
    <w:div w:id="696392372">
      <w:bodyDiv w:val="1"/>
      <w:marLeft w:val="0"/>
      <w:marRight w:val="0"/>
      <w:marTop w:val="0"/>
      <w:marBottom w:val="0"/>
      <w:divBdr>
        <w:top w:val="none" w:sz="0" w:space="0" w:color="auto"/>
        <w:left w:val="none" w:sz="0" w:space="0" w:color="auto"/>
        <w:bottom w:val="none" w:sz="0" w:space="0" w:color="auto"/>
        <w:right w:val="none" w:sz="0" w:space="0" w:color="auto"/>
      </w:divBdr>
    </w:div>
    <w:div w:id="705906859">
      <w:bodyDiv w:val="1"/>
      <w:marLeft w:val="0"/>
      <w:marRight w:val="0"/>
      <w:marTop w:val="0"/>
      <w:marBottom w:val="0"/>
      <w:divBdr>
        <w:top w:val="none" w:sz="0" w:space="0" w:color="auto"/>
        <w:left w:val="none" w:sz="0" w:space="0" w:color="auto"/>
        <w:bottom w:val="none" w:sz="0" w:space="0" w:color="auto"/>
        <w:right w:val="none" w:sz="0" w:space="0" w:color="auto"/>
      </w:divBdr>
    </w:div>
    <w:div w:id="759838394">
      <w:bodyDiv w:val="1"/>
      <w:marLeft w:val="0"/>
      <w:marRight w:val="0"/>
      <w:marTop w:val="0"/>
      <w:marBottom w:val="0"/>
      <w:divBdr>
        <w:top w:val="none" w:sz="0" w:space="0" w:color="auto"/>
        <w:left w:val="none" w:sz="0" w:space="0" w:color="auto"/>
        <w:bottom w:val="none" w:sz="0" w:space="0" w:color="auto"/>
        <w:right w:val="none" w:sz="0" w:space="0" w:color="auto"/>
      </w:divBdr>
    </w:div>
    <w:div w:id="795105750">
      <w:bodyDiv w:val="1"/>
      <w:marLeft w:val="0"/>
      <w:marRight w:val="0"/>
      <w:marTop w:val="0"/>
      <w:marBottom w:val="0"/>
      <w:divBdr>
        <w:top w:val="none" w:sz="0" w:space="0" w:color="auto"/>
        <w:left w:val="none" w:sz="0" w:space="0" w:color="auto"/>
        <w:bottom w:val="none" w:sz="0" w:space="0" w:color="auto"/>
        <w:right w:val="none" w:sz="0" w:space="0" w:color="auto"/>
      </w:divBdr>
    </w:div>
    <w:div w:id="812403420">
      <w:bodyDiv w:val="1"/>
      <w:marLeft w:val="0"/>
      <w:marRight w:val="0"/>
      <w:marTop w:val="0"/>
      <w:marBottom w:val="0"/>
      <w:divBdr>
        <w:top w:val="none" w:sz="0" w:space="0" w:color="auto"/>
        <w:left w:val="none" w:sz="0" w:space="0" w:color="auto"/>
        <w:bottom w:val="none" w:sz="0" w:space="0" w:color="auto"/>
        <w:right w:val="none" w:sz="0" w:space="0" w:color="auto"/>
      </w:divBdr>
    </w:div>
    <w:div w:id="828984583">
      <w:bodyDiv w:val="1"/>
      <w:marLeft w:val="0"/>
      <w:marRight w:val="0"/>
      <w:marTop w:val="0"/>
      <w:marBottom w:val="0"/>
      <w:divBdr>
        <w:top w:val="none" w:sz="0" w:space="0" w:color="auto"/>
        <w:left w:val="none" w:sz="0" w:space="0" w:color="auto"/>
        <w:bottom w:val="none" w:sz="0" w:space="0" w:color="auto"/>
        <w:right w:val="none" w:sz="0" w:space="0" w:color="auto"/>
      </w:divBdr>
    </w:div>
    <w:div w:id="844514959">
      <w:bodyDiv w:val="1"/>
      <w:marLeft w:val="0"/>
      <w:marRight w:val="0"/>
      <w:marTop w:val="0"/>
      <w:marBottom w:val="0"/>
      <w:divBdr>
        <w:top w:val="none" w:sz="0" w:space="0" w:color="auto"/>
        <w:left w:val="none" w:sz="0" w:space="0" w:color="auto"/>
        <w:bottom w:val="none" w:sz="0" w:space="0" w:color="auto"/>
        <w:right w:val="none" w:sz="0" w:space="0" w:color="auto"/>
      </w:divBdr>
      <w:divsChild>
        <w:div w:id="628826195">
          <w:marLeft w:val="0"/>
          <w:marRight w:val="0"/>
          <w:marTop w:val="0"/>
          <w:marBottom w:val="0"/>
          <w:divBdr>
            <w:top w:val="none" w:sz="0" w:space="0" w:color="auto"/>
            <w:left w:val="none" w:sz="0" w:space="0" w:color="auto"/>
            <w:bottom w:val="none" w:sz="0" w:space="0" w:color="auto"/>
            <w:right w:val="none" w:sz="0" w:space="0" w:color="auto"/>
          </w:divBdr>
          <w:divsChild>
            <w:div w:id="2004506073">
              <w:marLeft w:val="0"/>
              <w:marRight w:val="0"/>
              <w:marTop w:val="0"/>
              <w:marBottom w:val="0"/>
              <w:divBdr>
                <w:top w:val="none" w:sz="0" w:space="0" w:color="auto"/>
                <w:left w:val="none" w:sz="0" w:space="0" w:color="auto"/>
                <w:bottom w:val="none" w:sz="0" w:space="0" w:color="auto"/>
                <w:right w:val="none" w:sz="0" w:space="0" w:color="auto"/>
              </w:divBdr>
              <w:divsChild>
                <w:div w:id="851065940">
                  <w:marLeft w:val="0"/>
                  <w:marRight w:val="0"/>
                  <w:marTop w:val="0"/>
                  <w:marBottom w:val="0"/>
                  <w:divBdr>
                    <w:top w:val="none" w:sz="0" w:space="0" w:color="auto"/>
                    <w:left w:val="none" w:sz="0" w:space="0" w:color="auto"/>
                    <w:bottom w:val="none" w:sz="0" w:space="0" w:color="auto"/>
                    <w:right w:val="none" w:sz="0" w:space="0" w:color="auto"/>
                  </w:divBdr>
                </w:div>
              </w:divsChild>
            </w:div>
            <w:div w:id="272596481">
              <w:marLeft w:val="0"/>
              <w:marRight w:val="0"/>
              <w:marTop w:val="0"/>
              <w:marBottom w:val="0"/>
              <w:divBdr>
                <w:top w:val="none" w:sz="0" w:space="0" w:color="auto"/>
                <w:left w:val="none" w:sz="0" w:space="0" w:color="auto"/>
                <w:bottom w:val="none" w:sz="0" w:space="0" w:color="auto"/>
                <w:right w:val="none" w:sz="0" w:space="0" w:color="auto"/>
              </w:divBdr>
              <w:divsChild>
                <w:div w:id="1965109698">
                  <w:marLeft w:val="0"/>
                  <w:marRight w:val="0"/>
                  <w:marTop w:val="0"/>
                  <w:marBottom w:val="0"/>
                  <w:divBdr>
                    <w:top w:val="none" w:sz="0" w:space="0" w:color="auto"/>
                    <w:left w:val="none" w:sz="0" w:space="0" w:color="auto"/>
                    <w:bottom w:val="none" w:sz="0" w:space="0" w:color="auto"/>
                    <w:right w:val="none" w:sz="0" w:space="0" w:color="auto"/>
                  </w:divBdr>
                </w:div>
                <w:div w:id="207218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26136">
      <w:bodyDiv w:val="1"/>
      <w:marLeft w:val="0"/>
      <w:marRight w:val="0"/>
      <w:marTop w:val="0"/>
      <w:marBottom w:val="0"/>
      <w:divBdr>
        <w:top w:val="none" w:sz="0" w:space="0" w:color="auto"/>
        <w:left w:val="none" w:sz="0" w:space="0" w:color="auto"/>
        <w:bottom w:val="none" w:sz="0" w:space="0" w:color="auto"/>
        <w:right w:val="none" w:sz="0" w:space="0" w:color="auto"/>
      </w:divBdr>
    </w:div>
    <w:div w:id="873814155">
      <w:bodyDiv w:val="1"/>
      <w:marLeft w:val="0"/>
      <w:marRight w:val="0"/>
      <w:marTop w:val="0"/>
      <w:marBottom w:val="0"/>
      <w:divBdr>
        <w:top w:val="none" w:sz="0" w:space="0" w:color="auto"/>
        <w:left w:val="none" w:sz="0" w:space="0" w:color="auto"/>
        <w:bottom w:val="none" w:sz="0" w:space="0" w:color="auto"/>
        <w:right w:val="none" w:sz="0" w:space="0" w:color="auto"/>
      </w:divBdr>
    </w:div>
    <w:div w:id="878785150">
      <w:bodyDiv w:val="1"/>
      <w:marLeft w:val="0"/>
      <w:marRight w:val="0"/>
      <w:marTop w:val="0"/>
      <w:marBottom w:val="0"/>
      <w:divBdr>
        <w:top w:val="none" w:sz="0" w:space="0" w:color="auto"/>
        <w:left w:val="none" w:sz="0" w:space="0" w:color="auto"/>
        <w:bottom w:val="none" w:sz="0" w:space="0" w:color="auto"/>
        <w:right w:val="none" w:sz="0" w:space="0" w:color="auto"/>
      </w:divBdr>
    </w:div>
    <w:div w:id="951126852">
      <w:bodyDiv w:val="1"/>
      <w:marLeft w:val="0"/>
      <w:marRight w:val="0"/>
      <w:marTop w:val="0"/>
      <w:marBottom w:val="0"/>
      <w:divBdr>
        <w:top w:val="none" w:sz="0" w:space="0" w:color="auto"/>
        <w:left w:val="none" w:sz="0" w:space="0" w:color="auto"/>
        <w:bottom w:val="none" w:sz="0" w:space="0" w:color="auto"/>
        <w:right w:val="none" w:sz="0" w:space="0" w:color="auto"/>
      </w:divBdr>
    </w:div>
    <w:div w:id="1022323383">
      <w:bodyDiv w:val="1"/>
      <w:marLeft w:val="0"/>
      <w:marRight w:val="0"/>
      <w:marTop w:val="0"/>
      <w:marBottom w:val="0"/>
      <w:divBdr>
        <w:top w:val="none" w:sz="0" w:space="0" w:color="auto"/>
        <w:left w:val="none" w:sz="0" w:space="0" w:color="auto"/>
        <w:bottom w:val="none" w:sz="0" w:space="0" w:color="auto"/>
        <w:right w:val="none" w:sz="0" w:space="0" w:color="auto"/>
      </w:divBdr>
    </w:div>
    <w:div w:id="1029767247">
      <w:bodyDiv w:val="1"/>
      <w:marLeft w:val="0"/>
      <w:marRight w:val="0"/>
      <w:marTop w:val="0"/>
      <w:marBottom w:val="0"/>
      <w:divBdr>
        <w:top w:val="none" w:sz="0" w:space="0" w:color="auto"/>
        <w:left w:val="none" w:sz="0" w:space="0" w:color="auto"/>
        <w:bottom w:val="none" w:sz="0" w:space="0" w:color="auto"/>
        <w:right w:val="none" w:sz="0" w:space="0" w:color="auto"/>
      </w:divBdr>
    </w:div>
    <w:div w:id="1033263363">
      <w:bodyDiv w:val="1"/>
      <w:marLeft w:val="0"/>
      <w:marRight w:val="0"/>
      <w:marTop w:val="0"/>
      <w:marBottom w:val="0"/>
      <w:divBdr>
        <w:top w:val="none" w:sz="0" w:space="0" w:color="auto"/>
        <w:left w:val="none" w:sz="0" w:space="0" w:color="auto"/>
        <w:bottom w:val="none" w:sz="0" w:space="0" w:color="auto"/>
        <w:right w:val="none" w:sz="0" w:space="0" w:color="auto"/>
      </w:divBdr>
    </w:div>
    <w:div w:id="1037318836">
      <w:bodyDiv w:val="1"/>
      <w:marLeft w:val="0"/>
      <w:marRight w:val="0"/>
      <w:marTop w:val="0"/>
      <w:marBottom w:val="0"/>
      <w:divBdr>
        <w:top w:val="none" w:sz="0" w:space="0" w:color="auto"/>
        <w:left w:val="none" w:sz="0" w:space="0" w:color="auto"/>
        <w:bottom w:val="none" w:sz="0" w:space="0" w:color="auto"/>
        <w:right w:val="none" w:sz="0" w:space="0" w:color="auto"/>
      </w:divBdr>
    </w:div>
    <w:div w:id="1037779915">
      <w:bodyDiv w:val="1"/>
      <w:marLeft w:val="0"/>
      <w:marRight w:val="0"/>
      <w:marTop w:val="0"/>
      <w:marBottom w:val="0"/>
      <w:divBdr>
        <w:top w:val="none" w:sz="0" w:space="0" w:color="auto"/>
        <w:left w:val="none" w:sz="0" w:space="0" w:color="auto"/>
        <w:bottom w:val="none" w:sz="0" w:space="0" w:color="auto"/>
        <w:right w:val="none" w:sz="0" w:space="0" w:color="auto"/>
      </w:divBdr>
    </w:div>
    <w:div w:id="1070621070">
      <w:bodyDiv w:val="1"/>
      <w:marLeft w:val="0"/>
      <w:marRight w:val="0"/>
      <w:marTop w:val="0"/>
      <w:marBottom w:val="0"/>
      <w:divBdr>
        <w:top w:val="none" w:sz="0" w:space="0" w:color="auto"/>
        <w:left w:val="none" w:sz="0" w:space="0" w:color="auto"/>
        <w:bottom w:val="none" w:sz="0" w:space="0" w:color="auto"/>
        <w:right w:val="none" w:sz="0" w:space="0" w:color="auto"/>
      </w:divBdr>
    </w:div>
    <w:div w:id="1082676283">
      <w:bodyDiv w:val="1"/>
      <w:marLeft w:val="0"/>
      <w:marRight w:val="0"/>
      <w:marTop w:val="0"/>
      <w:marBottom w:val="0"/>
      <w:divBdr>
        <w:top w:val="none" w:sz="0" w:space="0" w:color="auto"/>
        <w:left w:val="none" w:sz="0" w:space="0" w:color="auto"/>
        <w:bottom w:val="none" w:sz="0" w:space="0" w:color="auto"/>
        <w:right w:val="none" w:sz="0" w:space="0" w:color="auto"/>
      </w:divBdr>
    </w:div>
    <w:div w:id="1163164057">
      <w:bodyDiv w:val="1"/>
      <w:marLeft w:val="0"/>
      <w:marRight w:val="0"/>
      <w:marTop w:val="0"/>
      <w:marBottom w:val="0"/>
      <w:divBdr>
        <w:top w:val="none" w:sz="0" w:space="0" w:color="auto"/>
        <w:left w:val="none" w:sz="0" w:space="0" w:color="auto"/>
        <w:bottom w:val="none" w:sz="0" w:space="0" w:color="auto"/>
        <w:right w:val="none" w:sz="0" w:space="0" w:color="auto"/>
      </w:divBdr>
    </w:div>
    <w:div w:id="1178428000">
      <w:bodyDiv w:val="1"/>
      <w:marLeft w:val="0"/>
      <w:marRight w:val="0"/>
      <w:marTop w:val="0"/>
      <w:marBottom w:val="0"/>
      <w:divBdr>
        <w:top w:val="none" w:sz="0" w:space="0" w:color="auto"/>
        <w:left w:val="none" w:sz="0" w:space="0" w:color="auto"/>
        <w:bottom w:val="none" w:sz="0" w:space="0" w:color="auto"/>
        <w:right w:val="none" w:sz="0" w:space="0" w:color="auto"/>
      </w:divBdr>
    </w:div>
    <w:div w:id="1361934032">
      <w:bodyDiv w:val="1"/>
      <w:marLeft w:val="0"/>
      <w:marRight w:val="0"/>
      <w:marTop w:val="0"/>
      <w:marBottom w:val="0"/>
      <w:divBdr>
        <w:top w:val="none" w:sz="0" w:space="0" w:color="auto"/>
        <w:left w:val="none" w:sz="0" w:space="0" w:color="auto"/>
        <w:bottom w:val="none" w:sz="0" w:space="0" w:color="auto"/>
        <w:right w:val="none" w:sz="0" w:space="0" w:color="auto"/>
      </w:divBdr>
    </w:div>
    <w:div w:id="1673485543">
      <w:bodyDiv w:val="1"/>
      <w:marLeft w:val="0"/>
      <w:marRight w:val="0"/>
      <w:marTop w:val="0"/>
      <w:marBottom w:val="0"/>
      <w:divBdr>
        <w:top w:val="none" w:sz="0" w:space="0" w:color="auto"/>
        <w:left w:val="none" w:sz="0" w:space="0" w:color="auto"/>
        <w:bottom w:val="none" w:sz="0" w:space="0" w:color="auto"/>
        <w:right w:val="none" w:sz="0" w:space="0" w:color="auto"/>
      </w:divBdr>
    </w:div>
    <w:div w:id="1681739594">
      <w:bodyDiv w:val="1"/>
      <w:marLeft w:val="0"/>
      <w:marRight w:val="0"/>
      <w:marTop w:val="0"/>
      <w:marBottom w:val="0"/>
      <w:divBdr>
        <w:top w:val="none" w:sz="0" w:space="0" w:color="auto"/>
        <w:left w:val="none" w:sz="0" w:space="0" w:color="auto"/>
        <w:bottom w:val="none" w:sz="0" w:space="0" w:color="auto"/>
        <w:right w:val="none" w:sz="0" w:space="0" w:color="auto"/>
      </w:divBdr>
    </w:div>
    <w:div w:id="1692219944">
      <w:bodyDiv w:val="1"/>
      <w:marLeft w:val="0"/>
      <w:marRight w:val="0"/>
      <w:marTop w:val="0"/>
      <w:marBottom w:val="0"/>
      <w:divBdr>
        <w:top w:val="none" w:sz="0" w:space="0" w:color="auto"/>
        <w:left w:val="none" w:sz="0" w:space="0" w:color="auto"/>
        <w:bottom w:val="none" w:sz="0" w:space="0" w:color="auto"/>
        <w:right w:val="none" w:sz="0" w:space="0" w:color="auto"/>
      </w:divBdr>
      <w:divsChild>
        <w:div w:id="1177041603">
          <w:marLeft w:val="0"/>
          <w:marRight w:val="0"/>
          <w:marTop w:val="0"/>
          <w:marBottom w:val="0"/>
          <w:divBdr>
            <w:top w:val="none" w:sz="0" w:space="0" w:color="auto"/>
            <w:left w:val="none" w:sz="0" w:space="0" w:color="auto"/>
            <w:bottom w:val="none" w:sz="0" w:space="0" w:color="auto"/>
            <w:right w:val="none" w:sz="0" w:space="0" w:color="auto"/>
          </w:divBdr>
          <w:divsChild>
            <w:div w:id="1342275488">
              <w:marLeft w:val="0"/>
              <w:marRight w:val="0"/>
              <w:marTop w:val="0"/>
              <w:marBottom w:val="0"/>
              <w:divBdr>
                <w:top w:val="none" w:sz="0" w:space="0" w:color="auto"/>
                <w:left w:val="none" w:sz="0" w:space="0" w:color="auto"/>
                <w:bottom w:val="none" w:sz="0" w:space="0" w:color="auto"/>
                <w:right w:val="none" w:sz="0" w:space="0" w:color="auto"/>
              </w:divBdr>
              <w:divsChild>
                <w:div w:id="803083207">
                  <w:marLeft w:val="0"/>
                  <w:marRight w:val="0"/>
                  <w:marTop w:val="0"/>
                  <w:marBottom w:val="0"/>
                  <w:divBdr>
                    <w:top w:val="none" w:sz="0" w:space="0" w:color="auto"/>
                    <w:left w:val="none" w:sz="0" w:space="0" w:color="auto"/>
                    <w:bottom w:val="none" w:sz="0" w:space="0" w:color="auto"/>
                    <w:right w:val="none" w:sz="0" w:space="0" w:color="auto"/>
                  </w:divBdr>
                  <w:divsChild>
                    <w:div w:id="132450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937569">
      <w:bodyDiv w:val="1"/>
      <w:marLeft w:val="0"/>
      <w:marRight w:val="0"/>
      <w:marTop w:val="0"/>
      <w:marBottom w:val="0"/>
      <w:divBdr>
        <w:top w:val="none" w:sz="0" w:space="0" w:color="auto"/>
        <w:left w:val="none" w:sz="0" w:space="0" w:color="auto"/>
        <w:bottom w:val="none" w:sz="0" w:space="0" w:color="auto"/>
        <w:right w:val="none" w:sz="0" w:space="0" w:color="auto"/>
      </w:divBdr>
      <w:divsChild>
        <w:div w:id="1387799200">
          <w:marLeft w:val="0"/>
          <w:marRight w:val="0"/>
          <w:marTop w:val="0"/>
          <w:marBottom w:val="0"/>
          <w:divBdr>
            <w:top w:val="none" w:sz="0" w:space="0" w:color="auto"/>
            <w:left w:val="none" w:sz="0" w:space="0" w:color="auto"/>
            <w:bottom w:val="none" w:sz="0" w:space="0" w:color="auto"/>
            <w:right w:val="none" w:sz="0" w:space="0" w:color="auto"/>
          </w:divBdr>
          <w:divsChild>
            <w:div w:id="1281306456">
              <w:marLeft w:val="0"/>
              <w:marRight w:val="0"/>
              <w:marTop w:val="0"/>
              <w:marBottom w:val="0"/>
              <w:divBdr>
                <w:top w:val="none" w:sz="0" w:space="0" w:color="auto"/>
                <w:left w:val="none" w:sz="0" w:space="0" w:color="auto"/>
                <w:bottom w:val="none" w:sz="0" w:space="0" w:color="auto"/>
                <w:right w:val="none" w:sz="0" w:space="0" w:color="auto"/>
              </w:divBdr>
              <w:divsChild>
                <w:div w:id="772745778">
                  <w:marLeft w:val="0"/>
                  <w:marRight w:val="0"/>
                  <w:marTop w:val="0"/>
                  <w:marBottom w:val="0"/>
                  <w:divBdr>
                    <w:top w:val="none" w:sz="0" w:space="0" w:color="auto"/>
                    <w:left w:val="none" w:sz="0" w:space="0" w:color="auto"/>
                    <w:bottom w:val="none" w:sz="0" w:space="0" w:color="auto"/>
                    <w:right w:val="none" w:sz="0" w:space="0" w:color="auto"/>
                  </w:divBdr>
                  <w:divsChild>
                    <w:div w:id="179301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025572">
      <w:bodyDiv w:val="1"/>
      <w:marLeft w:val="0"/>
      <w:marRight w:val="0"/>
      <w:marTop w:val="0"/>
      <w:marBottom w:val="0"/>
      <w:divBdr>
        <w:top w:val="none" w:sz="0" w:space="0" w:color="auto"/>
        <w:left w:val="none" w:sz="0" w:space="0" w:color="auto"/>
        <w:bottom w:val="none" w:sz="0" w:space="0" w:color="auto"/>
        <w:right w:val="none" w:sz="0" w:space="0" w:color="auto"/>
      </w:divBdr>
    </w:div>
    <w:div w:id="1721512679">
      <w:bodyDiv w:val="1"/>
      <w:marLeft w:val="0"/>
      <w:marRight w:val="0"/>
      <w:marTop w:val="0"/>
      <w:marBottom w:val="0"/>
      <w:divBdr>
        <w:top w:val="none" w:sz="0" w:space="0" w:color="auto"/>
        <w:left w:val="none" w:sz="0" w:space="0" w:color="auto"/>
        <w:bottom w:val="none" w:sz="0" w:space="0" w:color="auto"/>
        <w:right w:val="none" w:sz="0" w:space="0" w:color="auto"/>
      </w:divBdr>
    </w:div>
    <w:div w:id="1730764239">
      <w:bodyDiv w:val="1"/>
      <w:marLeft w:val="0"/>
      <w:marRight w:val="0"/>
      <w:marTop w:val="0"/>
      <w:marBottom w:val="0"/>
      <w:divBdr>
        <w:top w:val="none" w:sz="0" w:space="0" w:color="auto"/>
        <w:left w:val="none" w:sz="0" w:space="0" w:color="auto"/>
        <w:bottom w:val="none" w:sz="0" w:space="0" w:color="auto"/>
        <w:right w:val="none" w:sz="0" w:space="0" w:color="auto"/>
      </w:divBdr>
    </w:div>
    <w:div w:id="1752505033">
      <w:bodyDiv w:val="1"/>
      <w:marLeft w:val="0"/>
      <w:marRight w:val="0"/>
      <w:marTop w:val="0"/>
      <w:marBottom w:val="0"/>
      <w:divBdr>
        <w:top w:val="none" w:sz="0" w:space="0" w:color="auto"/>
        <w:left w:val="none" w:sz="0" w:space="0" w:color="auto"/>
        <w:bottom w:val="none" w:sz="0" w:space="0" w:color="auto"/>
        <w:right w:val="none" w:sz="0" w:space="0" w:color="auto"/>
      </w:divBdr>
    </w:div>
    <w:div w:id="1833377193">
      <w:bodyDiv w:val="1"/>
      <w:marLeft w:val="0"/>
      <w:marRight w:val="0"/>
      <w:marTop w:val="0"/>
      <w:marBottom w:val="0"/>
      <w:divBdr>
        <w:top w:val="none" w:sz="0" w:space="0" w:color="auto"/>
        <w:left w:val="none" w:sz="0" w:space="0" w:color="auto"/>
        <w:bottom w:val="none" w:sz="0" w:space="0" w:color="auto"/>
        <w:right w:val="none" w:sz="0" w:space="0" w:color="auto"/>
      </w:divBdr>
    </w:div>
    <w:div w:id="1873107314">
      <w:bodyDiv w:val="1"/>
      <w:marLeft w:val="0"/>
      <w:marRight w:val="0"/>
      <w:marTop w:val="0"/>
      <w:marBottom w:val="0"/>
      <w:divBdr>
        <w:top w:val="none" w:sz="0" w:space="0" w:color="auto"/>
        <w:left w:val="none" w:sz="0" w:space="0" w:color="auto"/>
        <w:bottom w:val="none" w:sz="0" w:space="0" w:color="auto"/>
        <w:right w:val="none" w:sz="0" w:space="0" w:color="auto"/>
      </w:divBdr>
    </w:div>
    <w:div w:id="1906066411">
      <w:bodyDiv w:val="1"/>
      <w:marLeft w:val="0"/>
      <w:marRight w:val="0"/>
      <w:marTop w:val="0"/>
      <w:marBottom w:val="0"/>
      <w:divBdr>
        <w:top w:val="none" w:sz="0" w:space="0" w:color="auto"/>
        <w:left w:val="none" w:sz="0" w:space="0" w:color="auto"/>
        <w:bottom w:val="none" w:sz="0" w:space="0" w:color="auto"/>
        <w:right w:val="none" w:sz="0" w:space="0" w:color="auto"/>
      </w:divBdr>
    </w:div>
    <w:div w:id="1952977999">
      <w:bodyDiv w:val="1"/>
      <w:marLeft w:val="0"/>
      <w:marRight w:val="0"/>
      <w:marTop w:val="0"/>
      <w:marBottom w:val="0"/>
      <w:divBdr>
        <w:top w:val="none" w:sz="0" w:space="0" w:color="auto"/>
        <w:left w:val="none" w:sz="0" w:space="0" w:color="auto"/>
        <w:bottom w:val="none" w:sz="0" w:space="0" w:color="auto"/>
        <w:right w:val="none" w:sz="0" w:space="0" w:color="auto"/>
      </w:divBdr>
    </w:div>
    <w:div w:id="2019119968">
      <w:bodyDiv w:val="1"/>
      <w:marLeft w:val="0"/>
      <w:marRight w:val="0"/>
      <w:marTop w:val="0"/>
      <w:marBottom w:val="0"/>
      <w:divBdr>
        <w:top w:val="none" w:sz="0" w:space="0" w:color="auto"/>
        <w:left w:val="none" w:sz="0" w:space="0" w:color="auto"/>
        <w:bottom w:val="none" w:sz="0" w:space="0" w:color="auto"/>
        <w:right w:val="none" w:sz="0" w:space="0" w:color="auto"/>
      </w:divBdr>
      <w:divsChild>
        <w:div w:id="117065489">
          <w:marLeft w:val="0"/>
          <w:marRight w:val="0"/>
          <w:marTop w:val="0"/>
          <w:marBottom w:val="0"/>
          <w:divBdr>
            <w:top w:val="none" w:sz="0" w:space="0" w:color="auto"/>
            <w:left w:val="none" w:sz="0" w:space="0" w:color="auto"/>
            <w:bottom w:val="none" w:sz="0" w:space="0" w:color="auto"/>
            <w:right w:val="none" w:sz="0" w:space="0" w:color="auto"/>
          </w:divBdr>
          <w:divsChild>
            <w:div w:id="1080104485">
              <w:marLeft w:val="0"/>
              <w:marRight w:val="0"/>
              <w:marTop w:val="0"/>
              <w:marBottom w:val="0"/>
              <w:divBdr>
                <w:top w:val="none" w:sz="0" w:space="0" w:color="auto"/>
                <w:left w:val="none" w:sz="0" w:space="0" w:color="auto"/>
                <w:bottom w:val="none" w:sz="0" w:space="0" w:color="auto"/>
                <w:right w:val="none" w:sz="0" w:space="0" w:color="auto"/>
              </w:divBdr>
              <w:divsChild>
                <w:div w:id="104340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59361">
      <w:bodyDiv w:val="1"/>
      <w:marLeft w:val="0"/>
      <w:marRight w:val="0"/>
      <w:marTop w:val="0"/>
      <w:marBottom w:val="0"/>
      <w:divBdr>
        <w:top w:val="none" w:sz="0" w:space="0" w:color="auto"/>
        <w:left w:val="none" w:sz="0" w:space="0" w:color="auto"/>
        <w:bottom w:val="none" w:sz="0" w:space="0" w:color="auto"/>
        <w:right w:val="none" w:sz="0" w:space="0" w:color="auto"/>
      </w:divBdr>
    </w:div>
    <w:div w:id="2089422932">
      <w:bodyDiv w:val="1"/>
      <w:marLeft w:val="0"/>
      <w:marRight w:val="0"/>
      <w:marTop w:val="0"/>
      <w:marBottom w:val="0"/>
      <w:divBdr>
        <w:top w:val="none" w:sz="0" w:space="0" w:color="auto"/>
        <w:left w:val="none" w:sz="0" w:space="0" w:color="auto"/>
        <w:bottom w:val="none" w:sz="0" w:space="0" w:color="auto"/>
        <w:right w:val="none" w:sz="0" w:space="0" w:color="auto"/>
      </w:divBdr>
    </w:div>
    <w:div w:id="20927697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trends.earth/docs/en/index.html" TargetMode="External"/><Relationship Id="rId18" Type="http://schemas.openxmlformats.org/officeDocument/2006/relationships/hyperlink" Target="https://land.copernicus.eu/global/products/lc" TargetMode="External"/><Relationship Id="rId26" Type="http://schemas.openxmlformats.org/officeDocument/2006/relationships/hyperlink" Target="https://prais.unccd.int/sites/default/files/helper_documents/3-DD_guidance_EN.pdf" TargetMode="External"/><Relationship Id="rId39" Type="http://schemas.openxmlformats.org/officeDocument/2006/relationships/hyperlink" Target="https://www.isric.org/explore/soilgrids" TargetMode="External"/><Relationship Id="rId21" Type="http://schemas.openxmlformats.org/officeDocument/2006/relationships/hyperlink" Target="https://land.copernicus.eu/global/" TargetMode="External"/><Relationship Id="rId34" Type="http://schemas.openxmlformats.org/officeDocument/2006/relationships/hyperlink" Target="http://trends.earth/docs/en/index.html" TargetMode="External"/><Relationship Id="rId42" Type="http://schemas.openxmlformats.org/officeDocument/2006/relationships/hyperlink" Target="https://scihub.copernicus.eu/"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arthexplorer.usgs.gov/" TargetMode="External"/><Relationship Id="rId29" Type="http://schemas.openxmlformats.org/officeDocument/2006/relationships/hyperlink" Target="https://unstats.un.org/sdgs/metadata/files/Metadata-15-03-0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fao.org/3/i8195en/I8195EN.pdf" TargetMode="External"/><Relationship Id="rId32" Type="http://schemas.openxmlformats.org/officeDocument/2006/relationships/hyperlink" Target="https://prais.unccd.int/sites/default/files/helper_documents/3-DD_guidance_EN.pdf" TargetMode="External"/><Relationship Id="rId37" Type="http://schemas.openxmlformats.org/officeDocument/2006/relationships/hyperlink" Target="https://land.copernicus.eu/global/" TargetMode="External"/><Relationship Id="rId40" Type="http://schemas.openxmlformats.org/officeDocument/2006/relationships/hyperlink" Target="http://www.fao.org/3/i8195en/I8195EN.pdf"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opernicus.eu/en/access-data" TargetMode="External"/><Relationship Id="rId23" Type="http://schemas.openxmlformats.org/officeDocument/2006/relationships/hyperlink" Target="https://www.isric.org/explore/soilgrids" TargetMode="External"/><Relationship Id="rId28" Type="http://schemas.openxmlformats.org/officeDocument/2006/relationships/hyperlink" Target="https://prais.unccd.int" TargetMode="External"/><Relationship Id="rId36" Type="http://schemas.openxmlformats.org/officeDocument/2006/relationships/hyperlink" Target="https://land.copernicus.eu/global/products/lc" TargetMode="External"/><Relationship Id="rId10" Type="http://schemas.openxmlformats.org/officeDocument/2006/relationships/endnotes" Target="endnotes.xml"/><Relationship Id="rId19" Type="http://schemas.openxmlformats.org/officeDocument/2006/relationships/hyperlink" Target="https://land.copernicus.eu/pan-european/high-resolution-layers" TargetMode="External"/><Relationship Id="rId31" Type="http://schemas.openxmlformats.org/officeDocument/2006/relationships/hyperlink" Target="https://prais.unccd.int/sites/default/files/helper_documents/2-Manual_EN_1.pdf"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rends.earth/docs/en/index.html" TargetMode="External"/><Relationship Id="rId22" Type="http://schemas.openxmlformats.org/officeDocument/2006/relationships/hyperlink" Target="http://www.fao.org/soils-portal/soil-survey/soil-maps-and-databases/harmonized-world-soil-database-v12/en/" TargetMode="External"/><Relationship Id="rId27" Type="http://schemas.openxmlformats.org/officeDocument/2006/relationships/hyperlink" Target="https://prais.unccd.int/node/7" TargetMode="External"/><Relationship Id="rId30" Type="http://schemas.openxmlformats.org/officeDocument/2006/relationships/hyperlink" Target="https://www.unccd.int/convention/2017-2018-unccd-reporting-process" TargetMode="External"/><Relationship Id="rId35" Type="http://schemas.openxmlformats.org/officeDocument/2006/relationships/hyperlink" Target="https://www.esa-landcover-cci.org/" TargetMode="External"/><Relationship Id="rId43"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esa-landcover-cci.org/" TargetMode="External"/><Relationship Id="rId25" Type="http://schemas.openxmlformats.org/officeDocument/2006/relationships/hyperlink" Target="https://prais.unccd.int/sites/default/files/helper_documents/2-Manual_EN_1.pdf" TargetMode="External"/><Relationship Id="rId33" Type="http://schemas.openxmlformats.org/officeDocument/2006/relationships/hyperlink" Target="https://doi.org/10.1016/j.envsci.2018.10.014" TargetMode="External"/><Relationship Id="rId38" Type="http://schemas.openxmlformats.org/officeDocument/2006/relationships/hyperlink" Target="http://www.fao.org/soils-portal/soil-survey/soil-maps-and-databases/harmonized-world-soil-database-v12/en/" TargetMode="External"/><Relationship Id="rId20" Type="http://schemas.openxmlformats.org/officeDocument/2006/relationships/hyperlink" Target="http://publications.jrc.ec.europa.eu/repository/handle/JRC80541" TargetMode="External"/><Relationship Id="rId41" Type="http://schemas.openxmlformats.org/officeDocument/2006/relationships/hyperlink" Target="https://earthexplorer.usgs.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prais.unccd.int/node/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A1F6DE6AA1014A984C5EDFD59959F5" ma:contentTypeVersion="8" ma:contentTypeDescription="Create a new document." ma:contentTypeScope="" ma:versionID="8a5e0b80d0efce5b32f3d3f0d32e1461">
  <xsd:schema xmlns:xsd="http://www.w3.org/2001/XMLSchema" xmlns:xs="http://www.w3.org/2001/XMLSchema" xmlns:p="http://schemas.microsoft.com/office/2006/metadata/properties" xmlns:ns3="e9b57c9c-85a7-470c-8bb1-4ad4c2bda9a7" targetNamespace="http://schemas.microsoft.com/office/2006/metadata/properties" ma:root="true" ma:fieldsID="90c472e3017c181ac366ccc790f3fe70" ns3:_="">
    <xsd:import namespace="e9b57c9c-85a7-470c-8bb1-4ad4c2bda9a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57c9c-85a7-470c-8bb1-4ad4c2bda9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A075AF4-EA6D-480B-8AAB-D69340334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57c9c-85a7-470c-8bb1-4ad4c2bda9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F31D48-E48A-40A1-8527-4640C19C8A82}">
  <ds:schemaRefs>
    <ds:schemaRef ds:uri="http://schemas.microsoft.com/sharepoint/v3/contenttype/forms"/>
  </ds:schemaRefs>
</ds:datastoreItem>
</file>

<file path=customXml/itemProps3.xml><?xml version="1.0" encoding="utf-8"?>
<ds:datastoreItem xmlns:ds="http://schemas.openxmlformats.org/officeDocument/2006/customXml" ds:itemID="{AA8CBC8E-399D-4B6E-9E29-7B8EC9DCE9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53352F-25EF-5146-A8D1-7CF779BD8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3374</Words>
  <Characters>19237</Characters>
  <Application>Microsoft Office Word</Application>
  <DocSecurity>0</DocSecurity>
  <Lines>160</Lines>
  <Paragraphs>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Glennie</dc:creator>
  <cp:keywords/>
  <dc:description/>
  <cp:lastModifiedBy>Marc Paganini</cp:lastModifiedBy>
  <cp:revision>12</cp:revision>
  <cp:lastPrinted>2019-08-09T10:48:00Z</cp:lastPrinted>
  <dcterms:created xsi:type="dcterms:W3CDTF">2019-08-09T13:02:00Z</dcterms:created>
  <dcterms:modified xsi:type="dcterms:W3CDTF">2019-09-09T07:15:00Z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0x0101000AA1F6DE6AA1014A984C5EDFD59959F5</vt:lpwstr>
  </property>
  <property fmtid="{D5CDD505-2E9C-101B-9397-08002B2CF9AE}" pid="3" name="Mendeley Document_1">
    <vt:lpwstr>True</vt:lpwstr>
  </property>
  <property fmtid="{D5CDD505-2E9C-101B-9397-08002B2CF9AE}" pid="4" name="Mendeley Unique User Id_1">
    <vt:lpwstr>1a1929ab-3c0f-3c2d-a87c-370da50e0042</vt:lpwstr>
  </property>
</Properties>
</file>