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C564" w14:textId="77777777" w:rsidR="00A07B4E" w:rsidRPr="00884B1E" w:rsidRDefault="00A07B4E" w:rsidP="00A07B4E">
      <w:pPr>
        <w:jc w:val="center"/>
        <w:rPr>
          <w:b/>
          <w:bCs/>
          <w:sz w:val="28"/>
          <w:szCs w:val="28"/>
        </w:rPr>
      </w:pPr>
      <w:r w:rsidRPr="00884B1E">
        <w:rPr>
          <w:b/>
          <w:bCs/>
          <w:sz w:val="28"/>
          <w:szCs w:val="28"/>
        </w:rPr>
        <w:t xml:space="preserve">Support paper for CEOS plenary to </w:t>
      </w:r>
      <w:proofErr w:type="gramStart"/>
      <w:r w:rsidRPr="00884B1E">
        <w:rPr>
          <w:b/>
          <w:bCs/>
          <w:sz w:val="28"/>
          <w:szCs w:val="28"/>
        </w:rPr>
        <w:t>explore</w:t>
      </w:r>
      <w:proofErr w:type="gramEnd"/>
    </w:p>
    <w:p w14:paraId="513EC849" w14:textId="0B442414" w:rsidR="009557D8" w:rsidRPr="00884B1E" w:rsidRDefault="00A07B4E" w:rsidP="00A07B4E">
      <w:pPr>
        <w:jc w:val="center"/>
        <w:rPr>
          <w:b/>
          <w:bCs/>
          <w:sz w:val="28"/>
          <w:szCs w:val="28"/>
        </w:rPr>
      </w:pPr>
      <w:r w:rsidRPr="00884B1E">
        <w:rPr>
          <w:b/>
          <w:bCs/>
          <w:sz w:val="28"/>
          <w:szCs w:val="28"/>
        </w:rPr>
        <w:t xml:space="preserve"> the development of an Aquatic Carbon </w:t>
      </w:r>
      <w:proofErr w:type="gramStart"/>
      <w:r w:rsidRPr="00884B1E">
        <w:rPr>
          <w:b/>
          <w:bCs/>
          <w:sz w:val="28"/>
          <w:szCs w:val="28"/>
        </w:rPr>
        <w:t>From</w:t>
      </w:r>
      <w:proofErr w:type="gramEnd"/>
      <w:r w:rsidRPr="00884B1E">
        <w:rPr>
          <w:b/>
          <w:bCs/>
          <w:sz w:val="28"/>
          <w:szCs w:val="28"/>
        </w:rPr>
        <w:t xml:space="preserve"> Space Roadmap</w:t>
      </w:r>
    </w:p>
    <w:p w14:paraId="44F5CE6B" w14:textId="2E7C7C89" w:rsidR="00795340" w:rsidRPr="00795340" w:rsidRDefault="00795340" w:rsidP="00A07B4E">
      <w:pPr>
        <w:jc w:val="center"/>
        <w:rPr>
          <w:i/>
          <w:iCs/>
        </w:rPr>
      </w:pPr>
      <w:r w:rsidRPr="00795340">
        <w:rPr>
          <w:i/>
          <w:iCs/>
        </w:rPr>
        <w:t>prepared by Jamie Shutler</w:t>
      </w:r>
      <w:r w:rsidR="00024CDA">
        <w:rPr>
          <w:i/>
          <w:iCs/>
        </w:rPr>
        <w:t xml:space="preserve"> (University of Exeter, UK)</w:t>
      </w:r>
      <w:r w:rsidRPr="00795340">
        <w:rPr>
          <w:i/>
          <w:iCs/>
        </w:rPr>
        <w:t>, Robert Brewin</w:t>
      </w:r>
      <w:r w:rsidR="00024CDA">
        <w:rPr>
          <w:i/>
          <w:iCs/>
        </w:rPr>
        <w:t xml:space="preserve"> (University of Exeter, UK)</w:t>
      </w:r>
      <w:r w:rsidRPr="00795340">
        <w:rPr>
          <w:i/>
          <w:iCs/>
        </w:rPr>
        <w:t>, Cecile Rousseaux</w:t>
      </w:r>
      <w:r w:rsidR="00024CDA">
        <w:rPr>
          <w:i/>
          <w:iCs/>
        </w:rPr>
        <w:t xml:space="preserve"> (NASA, US)</w:t>
      </w:r>
      <w:r w:rsidRPr="00795340">
        <w:rPr>
          <w:i/>
          <w:iCs/>
        </w:rPr>
        <w:t>, Marie-Helene Rio</w:t>
      </w:r>
      <w:r w:rsidR="00024CDA">
        <w:rPr>
          <w:i/>
          <w:iCs/>
        </w:rPr>
        <w:t xml:space="preserve"> (ESA, Italy)</w:t>
      </w:r>
      <w:r w:rsidR="00250C2B">
        <w:rPr>
          <w:i/>
          <w:iCs/>
        </w:rPr>
        <w:t>, Laura Lorenzoni</w:t>
      </w:r>
      <w:r w:rsidR="00024CDA">
        <w:rPr>
          <w:i/>
          <w:iCs/>
        </w:rPr>
        <w:t xml:space="preserve"> (NASA, US)</w:t>
      </w:r>
      <w:r w:rsidR="00250C2B">
        <w:rPr>
          <w:i/>
          <w:iCs/>
        </w:rPr>
        <w:t>, Hiroshi Murakami</w:t>
      </w:r>
      <w:r w:rsidR="00024CDA">
        <w:rPr>
          <w:i/>
          <w:iCs/>
        </w:rPr>
        <w:t xml:space="preserve"> (J</w:t>
      </w:r>
      <w:r w:rsidR="00884B1E">
        <w:rPr>
          <w:i/>
          <w:iCs/>
        </w:rPr>
        <w:t>AXA</w:t>
      </w:r>
      <w:r w:rsidR="00024CDA">
        <w:rPr>
          <w:i/>
          <w:iCs/>
        </w:rPr>
        <w:t>, Japan)</w:t>
      </w:r>
      <w:r w:rsidR="00250C2B">
        <w:rPr>
          <w:i/>
          <w:iCs/>
        </w:rPr>
        <w:t>, Hubert Loisel</w:t>
      </w:r>
      <w:r w:rsidR="00024CDA">
        <w:rPr>
          <w:i/>
          <w:iCs/>
        </w:rPr>
        <w:t xml:space="preserve"> (ULCO, France)</w:t>
      </w:r>
      <w:r w:rsidR="00250C2B">
        <w:rPr>
          <w:i/>
          <w:iCs/>
        </w:rPr>
        <w:t>, Shubha Sathyendranath</w:t>
      </w:r>
      <w:r w:rsidR="00024CDA">
        <w:rPr>
          <w:i/>
          <w:iCs/>
        </w:rPr>
        <w:t xml:space="preserve"> (PML, UK)</w:t>
      </w:r>
    </w:p>
    <w:p w14:paraId="1D616C06" w14:textId="77777777" w:rsidR="00A07B4E" w:rsidRDefault="00A07B4E" w:rsidP="00A07B4E">
      <w:pPr>
        <w:jc w:val="center"/>
      </w:pPr>
    </w:p>
    <w:p w14:paraId="0905DD2D" w14:textId="0919E0D2" w:rsidR="00A07B4E" w:rsidRPr="000F131D" w:rsidRDefault="00A07B4E" w:rsidP="00884B1E">
      <w:pPr>
        <w:jc w:val="center"/>
        <w:rPr>
          <w:b/>
          <w:bCs/>
        </w:rPr>
      </w:pPr>
      <w:r w:rsidRPr="000F131D">
        <w:rPr>
          <w:b/>
          <w:bCs/>
        </w:rPr>
        <w:t>Version 1 – 1</w:t>
      </w:r>
      <w:r w:rsidRPr="000F131D">
        <w:rPr>
          <w:b/>
          <w:bCs/>
          <w:vertAlign w:val="superscript"/>
        </w:rPr>
        <w:t>st</w:t>
      </w:r>
      <w:r w:rsidRPr="000F131D">
        <w:rPr>
          <w:b/>
          <w:bCs/>
        </w:rPr>
        <w:t xml:space="preserve"> November 2023</w:t>
      </w:r>
    </w:p>
    <w:p w14:paraId="6776D950" w14:textId="77777777" w:rsidR="00A07B4E" w:rsidRDefault="00A07B4E" w:rsidP="00A07B4E">
      <w:pPr>
        <w:jc w:val="both"/>
      </w:pPr>
    </w:p>
    <w:p w14:paraId="094437A1" w14:textId="4CA42A0F" w:rsidR="00A07B4E" w:rsidRPr="00A07B4E" w:rsidRDefault="00A07B4E" w:rsidP="00A07B4E">
      <w:pPr>
        <w:jc w:val="both"/>
        <w:rPr>
          <w:b/>
          <w:bCs/>
        </w:rPr>
      </w:pPr>
      <w:r w:rsidRPr="00A07B4E">
        <w:rPr>
          <w:b/>
          <w:bCs/>
        </w:rPr>
        <w:t>Issues for Plenary Discussion and Decision</w:t>
      </w:r>
    </w:p>
    <w:p w14:paraId="2E0BCEAB" w14:textId="77777777" w:rsidR="00A07B4E" w:rsidRPr="000F131D" w:rsidRDefault="00A07B4E" w:rsidP="000F131D">
      <w:pPr>
        <w:pStyle w:val="ListParagraph"/>
        <w:numPr>
          <w:ilvl w:val="0"/>
          <w:numId w:val="10"/>
        </w:numPr>
        <w:jc w:val="both"/>
        <w:rPr>
          <w:rFonts w:ascii="Arial" w:hAnsi="Arial" w:cs="Arial"/>
        </w:rPr>
      </w:pPr>
      <w:r w:rsidRPr="000F131D">
        <w:rPr>
          <w:rFonts w:ascii="Arial" w:hAnsi="Arial" w:cs="Arial"/>
          <w:color w:val="000000"/>
        </w:rPr>
        <w:t xml:space="preserve">We ask the principals to decide at plenary whether they are willing to provide representation and resources going forward to support the development of a full CEOS Aquatic carbon Roadmap. This will support the global carbon assessments (e.g., annual global carbon assessments, future global carbon </w:t>
      </w:r>
      <w:proofErr w:type="spellStart"/>
      <w:r w:rsidRPr="000F131D">
        <w:rPr>
          <w:rFonts w:ascii="Arial" w:hAnsi="Arial" w:cs="Arial"/>
          <w:color w:val="000000"/>
        </w:rPr>
        <w:t>stocktakes</w:t>
      </w:r>
      <w:proofErr w:type="spellEnd"/>
      <w:r w:rsidRPr="000F131D">
        <w:rPr>
          <w:rFonts w:ascii="Arial" w:hAnsi="Arial" w:cs="Arial"/>
          <w:color w:val="000000"/>
        </w:rPr>
        <w:t xml:space="preserve">), current and future ocean health assessments and mitigation (e.g., UN decade of ocean research) and will be used to guide the Intergovernmental Panel on Climate Change </w:t>
      </w:r>
      <w:r w:rsidRPr="000F131D">
        <w:rPr>
          <w:rFonts w:ascii="Arial" w:hAnsi="Arial" w:cs="Arial"/>
        </w:rPr>
        <w:t>(IPCC) Guidelines and 2035+ vision.</w:t>
      </w:r>
    </w:p>
    <w:p w14:paraId="2142BD73" w14:textId="77777777" w:rsidR="006968E6" w:rsidRDefault="006968E6" w:rsidP="006968E6">
      <w:pPr>
        <w:jc w:val="both"/>
        <w:rPr>
          <w:rFonts w:ascii="Arial" w:hAnsi="Arial" w:cs="Arial"/>
        </w:rPr>
      </w:pPr>
    </w:p>
    <w:p w14:paraId="33283E74" w14:textId="07C736E8" w:rsidR="006968E6" w:rsidRDefault="006968E6" w:rsidP="006968E6">
      <w:pPr>
        <w:pStyle w:val="ListParagraph"/>
        <w:numPr>
          <w:ilvl w:val="0"/>
          <w:numId w:val="1"/>
        </w:numPr>
        <w:rPr>
          <w:rFonts w:ascii="Arial" w:hAnsi="Arial" w:cs="Arial"/>
          <w:b/>
          <w:bCs/>
          <w:color w:val="000000"/>
        </w:rPr>
      </w:pPr>
      <w:r w:rsidRPr="006968E6">
        <w:rPr>
          <w:rFonts w:ascii="Arial" w:hAnsi="Arial" w:cs="Arial"/>
          <w:b/>
          <w:bCs/>
          <w:color w:val="000000"/>
        </w:rPr>
        <w:t>Vision</w:t>
      </w:r>
      <w:r w:rsidR="00F36179">
        <w:rPr>
          <w:rFonts w:ascii="Arial" w:hAnsi="Arial" w:cs="Arial"/>
          <w:b/>
          <w:bCs/>
          <w:color w:val="000000"/>
        </w:rPr>
        <w:t xml:space="preserve"> and </w:t>
      </w:r>
      <w:r w:rsidRPr="006968E6">
        <w:rPr>
          <w:rFonts w:ascii="Arial" w:hAnsi="Arial" w:cs="Arial"/>
          <w:b/>
          <w:bCs/>
          <w:color w:val="000000"/>
        </w:rPr>
        <w:t xml:space="preserve">justification </w:t>
      </w:r>
    </w:p>
    <w:p w14:paraId="12F59B61" w14:textId="77777777" w:rsidR="006968E6" w:rsidRDefault="006968E6" w:rsidP="006968E6">
      <w:pPr>
        <w:pStyle w:val="ListParagraph"/>
        <w:ind w:left="360"/>
        <w:rPr>
          <w:rFonts w:ascii="Arial" w:hAnsi="Arial" w:cs="Arial"/>
          <w:b/>
          <w:bCs/>
          <w:color w:val="000000"/>
        </w:rPr>
      </w:pPr>
    </w:p>
    <w:p w14:paraId="2BC3E050" w14:textId="75337CB8" w:rsidR="006968E6" w:rsidRPr="006968E6" w:rsidRDefault="006968E6" w:rsidP="006968E6">
      <w:pPr>
        <w:pStyle w:val="ListParagraph"/>
        <w:numPr>
          <w:ilvl w:val="1"/>
          <w:numId w:val="1"/>
        </w:numPr>
        <w:rPr>
          <w:rFonts w:ascii="Arial" w:hAnsi="Arial" w:cs="Arial"/>
          <w:b/>
          <w:bCs/>
          <w:color w:val="000000"/>
        </w:rPr>
      </w:pPr>
      <w:r w:rsidRPr="006968E6">
        <w:rPr>
          <w:rFonts w:ascii="Arial" w:hAnsi="Arial" w:cs="Arial"/>
          <w:b/>
          <w:bCs/>
          <w:color w:val="000000"/>
        </w:rPr>
        <w:t>Context</w:t>
      </w:r>
    </w:p>
    <w:p w14:paraId="3960ED68" w14:textId="07233493" w:rsidR="006968E6" w:rsidRPr="006968E6" w:rsidRDefault="006968E6" w:rsidP="006968E6">
      <w:pPr>
        <w:jc w:val="both"/>
        <w:rPr>
          <w:rFonts w:ascii="Arial" w:hAnsi="Arial" w:cs="Arial"/>
          <w:color w:val="000000"/>
        </w:rPr>
      </w:pPr>
      <w:r w:rsidRPr="006968E6">
        <w:rPr>
          <w:rFonts w:ascii="Arial" w:hAnsi="Arial" w:cs="Arial"/>
          <w:color w:val="000000"/>
        </w:rPr>
        <w:t xml:space="preserve">Following the 2015 Paris Agreement, CEOS has issued in 2021 a Global </w:t>
      </w:r>
      <w:proofErr w:type="spellStart"/>
      <w:r w:rsidRPr="006968E6">
        <w:rPr>
          <w:rFonts w:ascii="Arial" w:hAnsi="Arial" w:cs="Arial"/>
          <w:color w:val="000000"/>
        </w:rPr>
        <w:t>Stocktake</w:t>
      </w:r>
      <w:proofErr w:type="spellEnd"/>
      <w:r w:rsidRPr="006968E6">
        <w:rPr>
          <w:rFonts w:ascii="Arial" w:hAnsi="Arial" w:cs="Arial"/>
          <w:color w:val="000000"/>
        </w:rPr>
        <w:t xml:space="preserve"> strategy paper (</w:t>
      </w:r>
      <w:hyperlink r:id="rId7" w:history="1">
        <w:r w:rsidR="0021061C" w:rsidRPr="004D58B9">
          <w:rPr>
            <w:rStyle w:val="Hyperlink"/>
            <w:rFonts w:ascii="Arial" w:hAnsi="Arial" w:cs="Arial"/>
          </w:rPr>
          <w:t>https://ceos.org/observations/documents/GST_Strategy_Paper_V3.1.pdf</w:t>
        </w:r>
      </w:hyperlink>
      <w:r w:rsidRPr="006968E6">
        <w:rPr>
          <w:rFonts w:ascii="Arial" w:hAnsi="Arial" w:cs="Arial"/>
          <w:color w:val="000000"/>
        </w:rPr>
        <w:t xml:space="preserve">) to set out a way forward by which CEOS Agencies can coordinate their efforts to support the first (2023) and subsequent (every 5 years) Global </w:t>
      </w:r>
      <w:proofErr w:type="spellStart"/>
      <w:r w:rsidRPr="006968E6">
        <w:rPr>
          <w:rFonts w:ascii="Arial" w:hAnsi="Arial" w:cs="Arial"/>
          <w:color w:val="000000"/>
        </w:rPr>
        <w:t>Stocktake</w:t>
      </w:r>
      <w:proofErr w:type="spellEnd"/>
      <w:r w:rsidRPr="006968E6">
        <w:rPr>
          <w:rFonts w:ascii="Arial" w:hAnsi="Arial" w:cs="Arial"/>
          <w:color w:val="000000"/>
        </w:rPr>
        <w:t xml:space="preserve"> (GST). GST is a collective assessment process aiming at a) understanding how effective the combined efforts are in cutting GHG emissions over time, b) determining how close we are collectively to achieving its long-term temperature goals, and c) creating the momentum for countries to increase their ambitions in each new set of Nationally Determined Contributions (NDCs).The CEOS GST strategy paper covers the specific modalities of the GST and proposes where and how Agencies can support its implementation.</w:t>
      </w:r>
    </w:p>
    <w:p w14:paraId="56807224" w14:textId="4EA084B1" w:rsidR="006968E6" w:rsidRPr="001415B7" w:rsidRDefault="006968E6" w:rsidP="006968E6">
      <w:pPr>
        <w:jc w:val="both"/>
        <w:rPr>
          <w:rFonts w:ascii="Arial" w:hAnsi="Arial" w:cs="Arial"/>
          <w:color w:val="000000"/>
        </w:rPr>
      </w:pPr>
      <w:r w:rsidRPr="006968E6">
        <w:rPr>
          <w:rFonts w:ascii="Arial" w:hAnsi="Arial" w:cs="Arial"/>
          <w:color w:val="000000"/>
        </w:rPr>
        <w:t xml:space="preserve">Significant effort has already been undertaken in the past years within CEOS to understand how </w:t>
      </w:r>
      <w:r w:rsidR="00250C2B">
        <w:rPr>
          <w:rFonts w:ascii="Arial" w:hAnsi="Arial" w:cs="Arial"/>
          <w:color w:val="000000"/>
        </w:rPr>
        <w:t xml:space="preserve">Earth Observation </w:t>
      </w:r>
      <w:r w:rsidRPr="006968E6">
        <w:rPr>
          <w:rFonts w:ascii="Arial" w:hAnsi="Arial" w:cs="Arial"/>
          <w:color w:val="000000"/>
        </w:rPr>
        <w:t xml:space="preserve">data can best support the GST implementation. </w:t>
      </w:r>
      <w:proofErr w:type="gramStart"/>
      <w:r w:rsidRPr="006968E6">
        <w:rPr>
          <w:rFonts w:ascii="Arial" w:hAnsi="Arial" w:cs="Arial"/>
          <w:color w:val="000000"/>
        </w:rPr>
        <w:t>In particular, a</w:t>
      </w:r>
      <w:proofErr w:type="gramEnd"/>
      <w:r w:rsidRPr="006968E6">
        <w:rPr>
          <w:rFonts w:ascii="Arial" w:hAnsi="Arial" w:cs="Arial"/>
          <w:color w:val="000000"/>
        </w:rPr>
        <w:t xml:space="preserve"> White Paper entitled “A constellation architecture for monitoring carbon dioxide and methane from space”, was produced in 2018 by the Atmospheric Composition Virtual Composition (AC-VC)</w:t>
      </w:r>
      <w:r w:rsidR="00A72710">
        <w:rPr>
          <w:rFonts w:ascii="Arial" w:hAnsi="Arial" w:cs="Arial"/>
          <w:color w:val="000000"/>
        </w:rPr>
        <w:t xml:space="preserve"> </w:t>
      </w:r>
      <w:r w:rsidR="0021061C" w:rsidRPr="006968E6">
        <w:rPr>
          <w:rFonts w:ascii="Arial" w:hAnsi="Arial" w:cs="Arial"/>
          <w:color w:val="000000"/>
        </w:rPr>
        <w:t>focusing</w:t>
      </w:r>
      <w:r w:rsidRPr="006968E6">
        <w:rPr>
          <w:rFonts w:ascii="Arial" w:hAnsi="Arial" w:cs="Arial"/>
          <w:color w:val="000000"/>
        </w:rPr>
        <w:t xml:space="preserve"> on the provision of atmospheric GHG datasets to the GST process (Crisp et al., 2018). The white paper was followed in 2020 by the development of a comprehensive Roadmap (</w:t>
      </w:r>
      <w:hyperlink r:id="rId8" w:history="1">
        <w:r w:rsidR="00071145" w:rsidRPr="004D58B9">
          <w:rPr>
            <w:rStyle w:val="Hyperlink"/>
            <w:rFonts w:ascii="Arial" w:hAnsi="Arial" w:cs="Arial"/>
          </w:rPr>
          <w:t>https://ceos.org/observations/documents/CEOS_CGMS_GHG_Constellation_Roadmap_V2.3_cleaned.pdf</w:t>
        </w:r>
      </w:hyperlink>
      <w:r w:rsidRPr="006968E6">
        <w:rPr>
          <w:rFonts w:ascii="Arial" w:hAnsi="Arial" w:cs="Arial"/>
          <w:color w:val="000000"/>
        </w:rPr>
        <w:t xml:space="preserve">) for the implementation of the main recommendations of the GHG White Paper. This was followed in 2021 by the issue of a discussion Paper exploring the development of a CEOS AFOLU (Agriculture, Forestry and Other Land Uses) Roadmap in support of the GST process </w:t>
      </w:r>
      <w:r w:rsidRPr="006968E6">
        <w:rPr>
          <w:rFonts w:ascii="Arial" w:hAnsi="Arial" w:cs="Arial"/>
          <w:color w:val="000000"/>
        </w:rPr>
        <w:lastRenderedPageBreak/>
        <w:t>(</w:t>
      </w:r>
      <w:hyperlink r:id="rId9" w:history="1">
        <w:r w:rsidR="00071145" w:rsidRPr="004D58B9">
          <w:rPr>
            <w:rStyle w:val="Hyperlink"/>
            <w:rFonts w:ascii="Arial" w:hAnsi="Arial" w:cs="Arial"/>
          </w:rPr>
          <w:t>https://ceos.org/observations/documents/AFOLU%20Roadmap%20Discussion%20Paper%20v1-0.pdf</w:t>
        </w:r>
      </w:hyperlink>
      <w:r w:rsidRPr="006968E6">
        <w:rPr>
          <w:rFonts w:ascii="Arial" w:hAnsi="Arial" w:cs="Arial"/>
          <w:color w:val="000000"/>
        </w:rPr>
        <w:t>). The AFOLU roadmap was successfully developed and is being presented for endorsement at the CEOS plenary in November 2024.</w:t>
      </w:r>
    </w:p>
    <w:p w14:paraId="736F5E0F" w14:textId="77777777" w:rsidR="006968E6" w:rsidRPr="006968E6" w:rsidRDefault="006968E6" w:rsidP="006968E6">
      <w:pPr>
        <w:pStyle w:val="ListParagraph"/>
        <w:ind w:left="360"/>
        <w:rPr>
          <w:rFonts w:ascii="Arial" w:hAnsi="Arial" w:cs="Arial"/>
        </w:rPr>
      </w:pPr>
    </w:p>
    <w:p w14:paraId="7BA7BF36" w14:textId="3F2C7833" w:rsidR="006968E6" w:rsidRPr="006968E6" w:rsidRDefault="006968E6" w:rsidP="006968E6">
      <w:pPr>
        <w:pStyle w:val="ListParagraph"/>
        <w:numPr>
          <w:ilvl w:val="1"/>
          <w:numId w:val="1"/>
        </w:numPr>
        <w:rPr>
          <w:rFonts w:ascii="Arial" w:hAnsi="Arial" w:cs="Arial"/>
          <w:b/>
          <w:bCs/>
          <w:color w:val="000000"/>
        </w:rPr>
      </w:pPr>
      <w:r w:rsidRPr="006968E6">
        <w:rPr>
          <w:rFonts w:ascii="Arial" w:hAnsi="Arial" w:cs="Arial"/>
          <w:b/>
          <w:bCs/>
          <w:color w:val="000000"/>
        </w:rPr>
        <w:t>Rationale for an aquatic carbon roadmap to accompany the GHG and AFOLU roadmaps</w:t>
      </w:r>
    </w:p>
    <w:p w14:paraId="1CC56C62" w14:textId="77777777" w:rsidR="00416EBD" w:rsidRDefault="00416EBD" w:rsidP="006968E6">
      <w:pPr>
        <w:jc w:val="both"/>
        <w:rPr>
          <w:rFonts w:ascii="Arial" w:hAnsi="Arial" w:cs="Arial"/>
        </w:rPr>
      </w:pPr>
    </w:p>
    <w:p w14:paraId="61A5DF3E" w14:textId="754069C6" w:rsidR="006968E6" w:rsidRPr="00416EBD" w:rsidRDefault="006968E6" w:rsidP="006968E6">
      <w:pPr>
        <w:jc w:val="both"/>
        <w:rPr>
          <w:rFonts w:ascii="Arial" w:hAnsi="Arial" w:cs="Arial"/>
        </w:rPr>
      </w:pPr>
      <w:r w:rsidRPr="003B21DB">
        <w:rPr>
          <w:rFonts w:ascii="Arial" w:hAnsi="Arial" w:cs="Arial"/>
        </w:rPr>
        <w:t>The ocean annually absorbs more than a quarter of all</w:t>
      </w:r>
      <w:r>
        <w:rPr>
          <w:rFonts w:ascii="Arial" w:hAnsi="Arial" w:cs="Arial"/>
        </w:rPr>
        <w:t xml:space="preserve"> anthropogenic carbon dioxide (</w:t>
      </w:r>
      <w:r w:rsidRPr="003B21DB">
        <w:rPr>
          <w:rFonts w:ascii="Arial" w:hAnsi="Arial" w:cs="Arial"/>
        </w:rPr>
        <w:t>CO</w:t>
      </w:r>
      <w:r w:rsidRPr="003B21DB">
        <w:rPr>
          <w:rFonts w:ascii="Arial" w:hAnsi="Arial" w:cs="Arial"/>
          <w:vertAlign w:val="subscript"/>
        </w:rPr>
        <w:t>2</w:t>
      </w:r>
      <w:r w:rsidRPr="00437884">
        <w:rPr>
          <w:rFonts w:ascii="Arial" w:hAnsi="Arial" w:cs="Arial"/>
        </w:rPr>
        <w:t>)</w:t>
      </w:r>
      <w:r>
        <w:rPr>
          <w:rFonts w:ascii="Arial" w:hAnsi="Arial" w:cs="Arial"/>
        </w:rPr>
        <w:t>, which has helped to slow the full impact of climate change, but this long-term absorption is fundamentally changing ocean chemistry and degrading ocean health.</w:t>
      </w:r>
      <w:r w:rsidR="00A160B1">
        <w:rPr>
          <w:rFonts w:ascii="Arial" w:hAnsi="Arial" w:cs="Arial"/>
        </w:rPr>
        <w:t xml:space="preserve"> Its impact on the ocean ecosystem must be assessed and monitored, as well as the consequences for the services provided by the marine ecosystems.</w:t>
      </w:r>
    </w:p>
    <w:p w14:paraId="41705D83" w14:textId="2F3E3A2E" w:rsidR="006968E6" w:rsidRPr="0021061C" w:rsidRDefault="006968E6" w:rsidP="006968E6">
      <w:pPr>
        <w:jc w:val="both"/>
        <w:rPr>
          <w:rFonts w:ascii="Arial" w:hAnsi="Arial" w:cs="Arial"/>
        </w:rPr>
      </w:pPr>
      <w:r>
        <w:rPr>
          <w:rFonts w:ascii="Arial" w:hAnsi="Arial" w:cs="Arial"/>
          <w:color w:val="000000"/>
        </w:rPr>
        <w:t>The ocean, along with the atmosphere, are the two main observational constraints on global carbon assessments, and these assessments of regional and global carbon enable the impacts and risks associated with carbon uptake to be assessed (Shutler et al., 2020).</w:t>
      </w:r>
      <w:r>
        <w:rPr>
          <w:rFonts w:ascii="Arial" w:hAnsi="Arial" w:cs="Arial"/>
        </w:rPr>
        <w:t xml:space="preserve">  </w:t>
      </w:r>
      <w:r>
        <w:rPr>
          <w:rFonts w:ascii="Arial" w:hAnsi="Arial" w:cs="Arial"/>
          <w:color w:val="000000"/>
        </w:rPr>
        <w:t xml:space="preserve">Furthermore, all of the methods used to assess the land carbon sink (differencing methods, inversion models or dynamic vegetation </w:t>
      </w:r>
      <w:proofErr w:type="gramStart"/>
      <w:r>
        <w:rPr>
          <w:rFonts w:ascii="Arial" w:hAnsi="Arial" w:cs="Arial"/>
          <w:color w:val="000000"/>
        </w:rPr>
        <w:t>models;</w:t>
      </w:r>
      <w:proofErr w:type="gramEnd"/>
      <w:r>
        <w:rPr>
          <w:rFonts w:ascii="Arial" w:hAnsi="Arial" w:cs="Arial"/>
          <w:color w:val="000000"/>
        </w:rPr>
        <w:t xml:space="preserve"> e.g. Le </w:t>
      </w:r>
      <w:proofErr w:type="spellStart"/>
      <w:r w:rsidR="00A160B1">
        <w:rPr>
          <w:rFonts w:ascii="Arial" w:hAnsi="Arial" w:cs="Arial"/>
          <w:color w:val="000000"/>
        </w:rPr>
        <w:t>Queré</w:t>
      </w:r>
      <w:proofErr w:type="spellEnd"/>
      <w:r w:rsidR="00A160B1">
        <w:rPr>
          <w:rFonts w:ascii="Arial" w:hAnsi="Arial" w:cs="Arial"/>
          <w:color w:val="000000"/>
        </w:rPr>
        <w:t xml:space="preserve"> </w:t>
      </w:r>
      <w:r>
        <w:rPr>
          <w:rFonts w:ascii="Arial" w:hAnsi="Arial" w:cs="Arial"/>
          <w:color w:val="000000"/>
        </w:rPr>
        <w:t xml:space="preserve">et al., 2016; </w:t>
      </w:r>
      <w:proofErr w:type="spellStart"/>
      <w:r>
        <w:rPr>
          <w:rFonts w:ascii="Arial" w:hAnsi="Arial" w:cs="Arial"/>
          <w:color w:val="000000"/>
        </w:rPr>
        <w:t>Resplandly</w:t>
      </w:r>
      <w:proofErr w:type="spellEnd"/>
      <w:r>
        <w:rPr>
          <w:rFonts w:ascii="Arial" w:hAnsi="Arial" w:cs="Arial"/>
          <w:color w:val="000000"/>
        </w:rPr>
        <w:t xml:space="preserve"> et al., 2018) rely upon accurate estimate of ocean</w:t>
      </w:r>
      <w:r w:rsidR="00A160B1">
        <w:rPr>
          <w:rFonts w:ascii="Arial" w:hAnsi="Arial" w:cs="Arial"/>
          <w:color w:val="000000"/>
        </w:rPr>
        <w:t>ic</w:t>
      </w:r>
      <w:r>
        <w:rPr>
          <w:rFonts w:ascii="Arial" w:hAnsi="Arial" w:cs="Arial"/>
          <w:color w:val="000000"/>
        </w:rPr>
        <w:t xml:space="preserve"> and aquatic carbon as a key constraint or input.  </w:t>
      </w:r>
      <w:r w:rsidRPr="003B21DB">
        <w:rPr>
          <w:rFonts w:ascii="Arial" w:hAnsi="Arial" w:cs="Times New Roman"/>
        </w:rPr>
        <w:t>Th</w:t>
      </w:r>
      <w:r>
        <w:rPr>
          <w:rFonts w:ascii="Arial" w:hAnsi="Arial" w:cs="Times New Roman"/>
        </w:rPr>
        <w:t>us</w:t>
      </w:r>
      <w:r w:rsidRPr="003B21DB">
        <w:rPr>
          <w:rFonts w:ascii="Arial" w:hAnsi="Arial" w:cs="Times New Roman"/>
        </w:rPr>
        <w:t xml:space="preserve">, </w:t>
      </w:r>
      <w:r>
        <w:rPr>
          <w:rFonts w:ascii="Arial" w:hAnsi="Arial" w:cs="Times New Roman"/>
        </w:rPr>
        <w:t>using poor estimates of ocean carbon reduce</w:t>
      </w:r>
      <w:r w:rsidR="00A160B1">
        <w:rPr>
          <w:rFonts w:ascii="Arial" w:hAnsi="Arial" w:cs="Times New Roman"/>
        </w:rPr>
        <w:t>s</w:t>
      </w:r>
      <w:r>
        <w:rPr>
          <w:rFonts w:ascii="Arial" w:hAnsi="Arial" w:cs="Times New Roman"/>
        </w:rPr>
        <w:t xml:space="preserve"> the quality of land carbon estimates and that of the global carbon budget, which in turns erodes any guidance for emission targets.  Conversely, improving the estimates of ocean carbon profoundly improves the strength of policy guidance resulting from these global carbon assessments.</w:t>
      </w:r>
    </w:p>
    <w:p w14:paraId="74EAD350" w14:textId="014ABD4C" w:rsidR="00250C2B" w:rsidRDefault="00250C2B" w:rsidP="00250C2B">
      <w:pPr>
        <w:jc w:val="both"/>
        <w:rPr>
          <w:rFonts w:ascii="Arial" w:hAnsi="Arial" w:cs="Arial"/>
        </w:rPr>
      </w:pPr>
      <w:r>
        <w:rPr>
          <w:rFonts w:ascii="Arial" w:hAnsi="Arial" w:cs="Arial"/>
        </w:rPr>
        <w:t>As the ocean cover more than 70% of the Earth, t</w:t>
      </w:r>
      <w:r w:rsidRPr="003B21DB">
        <w:rPr>
          <w:rFonts w:ascii="Arial" w:hAnsi="Arial" w:cs="Arial"/>
        </w:rPr>
        <w:t xml:space="preserve">hese </w:t>
      </w:r>
      <w:r>
        <w:rPr>
          <w:rFonts w:ascii="Arial" w:hAnsi="Arial" w:cs="Arial"/>
        </w:rPr>
        <w:t xml:space="preserve">regional and global </w:t>
      </w:r>
      <w:r w:rsidRPr="003B21DB">
        <w:rPr>
          <w:rFonts w:ascii="Arial" w:hAnsi="Arial" w:cs="Arial"/>
        </w:rPr>
        <w:t>carbon assessments rely heavily on satellite observations, but their inclusion is often invisible or opaque to policy</w:t>
      </w:r>
      <w:r>
        <w:rPr>
          <w:rFonts w:ascii="Arial" w:hAnsi="Arial" w:cs="Arial"/>
        </w:rPr>
        <w:t xml:space="preserve"> (Shutler et al., in-revision) and they tend to focus on ocean physics, largely overlooking biological controls which are critical for carbon uptake and sequestration. In addition, the biological response of the ocean is already changing in response to climate change and expected to continue to do so. Thus, renewed efforts to understand and include biology within these assessments are critical (Arico et al., 2021). Similarly, there is an increasing need to understand and map the impacts that ocean carbon uptake is having on </w:t>
      </w:r>
      <w:r w:rsidR="0038442F">
        <w:rPr>
          <w:rFonts w:ascii="Arial" w:hAnsi="Arial" w:cs="Arial"/>
        </w:rPr>
        <w:t xml:space="preserve">ocean </w:t>
      </w:r>
      <w:r>
        <w:rPr>
          <w:rFonts w:ascii="Arial" w:hAnsi="Arial" w:cs="Arial"/>
        </w:rPr>
        <w:t>biology (</w:t>
      </w:r>
      <w:proofErr w:type="gramStart"/>
      <w:r>
        <w:rPr>
          <w:rFonts w:ascii="Arial" w:hAnsi="Arial" w:cs="Arial"/>
        </w:rPr>
        <w:t>e.g.</w:t>
      </w:r>
      <w:proofErr w:type="gramEnd"/>
      <w:r>
        <w:rPr>
          <w:rFonts w:ascii="Arial" w:hAnsi="Arial" w:cs="Arial"/>
        </w:rPr>
        <w:t xml:space="preserve"> ocean acidification) to support mitigation and management of ocean health (Shutler et al., in-revision).</w:t>
      </w:r>
    </w:p>
    <w:p w14:paraId="43F22D51" w14:textId="4C5AC85B" w:rsidR="00250C2B" w:rsidRPr="005D4218" w:rsidRDefault="00250C2B" w:rsidP="00250C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14:ligatures w14:val="none"/>
        </w:rPr>
      </w:pPr>
      <w:r>
        <w:rPr>
          <w:rFonts w:ascii="Arial" w:hAnsi="Arial" w:cs="Arial"/>
          <w:color w:val="000000" w:themeColor="text1"/>
          <w14:ligatures w14:val="none"/>
        </w:rPr>
        <w:t>Currently, g</w:t>
      </w:r>
      <w:r w:rsidRPr="005D4218">
        <w:rPr>
          <w:rFonts w:ascii="Arial" w:hAnsi="Arial" w:cs="Arial"/>
          <w:color w:val="000000" w:themeColor="text1"/>
          <w14:ligatures w14:val="none"/>
        </w:rPr>
        <w:t xml:space="preserve">lobal </w:t>
      </w:r>
      <w:r>
        <w:rPr>
          <w:rFonts w:ascii="Arial" w:hAnsi="Arial" w:cs="Arial"/>
          <w:color w:val="000000" w:themeColor="text1"/>
          <w14:ligatures w14:val="none"/>
        </w:rPr>
        <w:t xml:space="preserve">ocean carbon </w:t>
      </w:r>
      <w:r w:rsidRPr="005D4218">
        <w:rPr>
          <w:rFonts w:ascii="Arial" w:hAnsi="Arial" w:cs="Arial"/>
          <w:color w:val="000000" w:themeColor="text1"/>
          <w14:ligatures w14:val="none"/>
        </w:rPr>
        <w:t>assessments are using satellite data in inconsistent and non-optimal ways</w:t>
      </w:r>
      <w:r>
        <w:rPr>
          <w:rFonts w:ascii="Arial" w:hAnsi="Arial" w:cs="Arial"/>
          <w:color w:val="000000" w:themeColor="text1"/>
          <w14:ligatures w14:val="none"/>
        </w:rPr>
        <w:t>; this has led to a lack of agreement between m</w:t>
      </w:r>
      <w:r w:rsidRPr="0004710F">
        <w:rPr>
          <w:rFonts w:ascii="Arial" w:hAnsi="Arial" w:cs="Arial"/>
          <w:color w:val="000000" w:themeColor="text1"/>
          <w14:ligatures w14:val="none"/>
        </w:rPr>
        <w:t xml:space="preserve">odels and observation-based estimates </w:t>
      </w:r>
      <w:r>
        <w:rPr>
          <w:rFonts w:ascii="Arial" w:hAnsi="Arial" w:cs="Arial"/>
          <w:color w:val="000000" w:themeColor="text1"/>
          <w14:ligatures w14:val="none"/>
        </w:rPr>
        <w:t>of carbon uptake by the ocean, with large sources of errors and uncertainties within annual assessments. Furthermore, l</w:t>
      </w:r>
      <w:r w:rsidRPr="005D4218">
        <w:rPr>
          <w:rFonts w:ascii="Arial" w:hAnsi="Arial" w:cs="Arial"/>
          <w:color w:val="000000" w:themeColor="text1"/>
          <w14:ligatures w14:val="none"/>
        </w:rPr>
        <w:t xml:space="preserve">arge uncertainties </w:t>
      </w:r>
      <w:r>
        <w:rPr>
          <w:rFonts w:ascii="Arial" w:hAnsi="Arial" w:cs="Arial"/>
          <w:color w:val="000000" w:themeColor="text1"/>
          <w14:ligatures w14:val="none"/>
        </w:rPr>
        <w:t>remain</w:t>
      </w:r>
      <w:r w:rsidRPr="005D4218">
        <w:rPr>
          <w:rFonts w:ascii="Arial" w:hAnsi="Arial" w:cs="Arial"/>
          <w:color w:val="000000" w:themeColor="text1"/>
          <w14:ligatures w14:val="none"/>
        </w:rPr>
        <w:t xml:space="preserve"> in our understanding of </w:t>
      </w:r>
      <w:r>
        <w:rPr>
          <w:rFonts w:ascii="Arial" w:hAnsi="Arial" w:cs="Arial"/>
          <w:color w:val="000000" w:themeColor="text1"/>
          <w14:ligatures w14:val="none"/>
        </w:rPr>
        <w:t>organic (</w:t>
      </w:r>
      <w:proofErr w:type="gramStart"/>
      <w:r>
        <w:rPr>
          <w:rFonts w:ascii="Arial" w:hAnsi="Arial" w:cs="Arial"/>
          <w:color w:val="000000" w:themeColor="text1"/>
          <w14:ligatures w14:val="none"/>
        </w:rPr>
        <w:t>e.g.</w:t>
      </w:r>
      <w:proofErr w:type="gramEnd"/>
      <w:r>
        <w:rPr>
          <w:rFonts w:ascii="Arial" w:hAnsi="Arial" w:cs="Arial"/>
          <w:color w:val="000000" w:themeColor="text1"/>
          <w14:ligatures w14:val="none"/>
        </w:rPr>
        <w:t xml:space="preserve"> biologically mediated)</w:t>
      </w:r>
      <w:r w:rsidRPr="005D4218">
        <w:rPr>
          <w:rFonts w:ascii="Arial" w:hAnsi="Arial" w:cs="Arial"/>
          <w:color w:val="000000" w:themeColor="text1"/>
          <w14:ligatures w14:val="none"/>
        </w:rPr>
        <w:t xml:space="preserve"> carbon fluxes in the ocean, notably primary production and export production</w:t>
      </w:r>
      <w:r>
        <w:rPr>
          <w:rFonts w:ascii="Arial" w:hAnsi="Arial" w:cs="Arial"/>
          <w:color w:val="000000" w:themeColor="text1"/>
          <w14:ligatures w14:val="none"/>
        </w:rPr>
        <w:t xml:space="preserve">, thus also undermining the potential of these global assessments and the policy advice that they underpin. This has resulted in </w:t>
      </w:r>
      <w:r w:rsidRPr="0004710F">
        <w:rPr>
          <w:rFonts w:ascii="Arial" w:hAnsi="Arial" w:cs="Arial"/>
          <w:color w:val="000000" w:themeColor="text1"/>
          <w14:ligatures w14:val="none"/>
        </w:rPr>
        <w:t xml:space="preserve">substantial uncertainty </w:t>
      </w:r>
      <w:r>
        <w:rPr>
          <w:rFonts w:ascii="Arial" w:hAnsi="Arial" w:cs="Arial"/>
          <w:color w:val="000000" w:themeColor="text1"/>
          <w14:ligatures w14:val="none"/>
        </w:rPr>
        <w:t>for</w:t>
      </w:r>
      <w:r w:rsidRPr="0004710F">
        <w:rPr>
          <w:rFonts w:ascii="Arial" w:hAnsi="Arial" w:cs="Arial"/>
          <w:color w:val="000000" w:themeColor="text1"/>
          <w14:ligatures w14:val="none"/>
        </w:rPr>
        <w:t xml:space="preserve"> future climate projections.</w:t>
      </w:r>
      <w:r>
        <w:rPr>
          <w:rFonts w:ascii="Arial" w:hAnsi="Arial" w:cs="Arial"/>
          <w:color w:val="000000" w:themeColor="text1"/>
          <w14:ligatures w14:val="none"/>
        </w:rPr>
        <w:t xml:space="preserve"> Changes of carbon fluxes in coastal blue carbon ecosystems (</w:t>
      </w:r>
      <w:proofErr w:type="gramStart"/>
      <w:r>
        <w:rPr>
          <w:rFonts w:ascii="Arial" w:hAnsi="Arial" w:cs="Arial"/>
          <w:color w:val="000000" w:themeColor="text1"/>
          <w14:ligatures w14:val="none"/>
        </w:rPr>
        <w:t>i.e.</w:t>
      </w:r>
      <w:proofErr w:type="gramEnd"/>
      <w:r>
        <w:rPr>
          <w:rFonts w:ascii="Arial" w:hAnsi="Arial" w:cs="Arial"/>
          <w:color w:val="000000" w:themeColor="text1"/>
          <w14:ligatures w14:val="none"/>
        </w:rPr>
        <w:t xml:space="preserve"> </w:t>
      </w:r>
      <w:r w:rsidRPr="00A72710">
        <w:rPr>
          <w:rFonts w:ascii="Arial" w:hAnsi="Arial" w:cs="Arial"/>
          <w:color w:val="000000" w:themeColor="text1"/>
          <w14:ligatures w14:val="none"/>
        </w:rPr>
        <w:t>vegetated coastal and marine ecosystems</w:t>
      </w:r>
      <w:r w:rsidR="00716E01">
        <w:rPr>
          <w:rFonts w:ascii="Arial" w:hAnsi="Arial" w:cs="Arial"/>
          <w:color w:val="000000" w:themeColor="text1"/>
          <w14:ligatures w14:val="none"/>
        </w:rPr>
        <w:t xml:space="preserve"> storing carbon</w:t>
      </w:r>
      <w:r>
        <w:rPr>
          <w:rFonts w:ascii="Arial" w:hAnsi="Arial" w:cs="Arial"/>
          <w:color w:val="000000" w:themeColor="text1"/>
          <w14:ligatures w14:val="none"/>
        </w:rPr>
        <w:t xml:space="preserve"> -</w:t>
      </w:r>
      <w:r w:rsidRPr="00A72710">
        <w:rPr>
          <w:rFonts w:ascii="Arial" w:hAnsi="Arial" w:cs="Arial"/>
          <w:color w:val="000000" w:themeColor="text1"/>
          <w14:ligatures w14:val="none"/>
        </w:rPr>
        <w:t xml:space="preserve"> mostly seagrasses, mangroves, and salt marshes</w:t>
      </w:r>
      <w:r>
        <w:rPr>
          <w:rFonts w:ascii="Arial" w:hAnsi="Arial" w:cs="Arial"/>
          <w:color w:val="000000" w:themeColor="text1"/>
          <w14:ligatures w14:val="none"/>
        </w:rPr>
        <w:t xml:space="preserve"> –) </w:t>
      </w:r>
      <w:r w:rsidR="00716E01">
        <w:rPr>
          <w:rFonts w:ascii="Arial" w:hAnsi="Arial" w:cs="Arial"/>
          <w:color w:val="000000" w:themeColor="text1"/>
          <w14:ligatures w14:val="none"/>
        </w:rPr>
        <w:t xml:space="preserve">remain </w:t>
      </w:r>
      <w:r>
        <w:rPr>
          <w:rFonts w:ascii="Arial" w:hAnsi="Arial" w:cs="Arial"/>
          <w:color w:val="000000" w:themeColor="text1"/>
          <w14:ligatures w14:val="none"/>
        </w:rPr>
        <w:t>to be characterized and constrained, and our k</w:t>
      </w:r>
      <w:r w:rsidRPr="005D4218">
        <w:rPr>
          <w:rFonts w:ascii="Arial" w:hAnsi="Arial" w:cs="Arial"/>
          <w:color w:val="000000" w:themeColor="text1"/>
          <w14:ligatures w14:val="none"/>
        </w:rPr>
        <w:t xml:space="preserve">nowledge gap in freshwater production and </w:t>
      </w:r>
      <w:r>
        <w:rPr>
          <w:rFonts w:ascii="Arial" w:hAnsi="Arial" w:cs="Arial"/>
          <w:color w:val="000000" w:themeColor="text1"/>
          <w14:ligatures w14:val="none"/>
        </w:rPr>
        <w:t xml:space="preserve">the flow of carbon between the </w:t>
      </w:r>
      <w:r w:rsidRPr="005D4218">
        <w:rPr>
          <w:rFonts w:ascii="Arial" w:hAnsi="Arial" w:cs="Arial"/>
          <w:color w:val="000000" w:themeColor="text1"/>
          <w14:ligatures w14:val="none"/>
        </w:rPr>
        <w:t>land</w:t>
      </w:r>
      <w:r>
        <w:rPr>
          <w:rFonts w:ascii="Arial" w:hAnsi="Arial" w:cs="Arial"/>
          <w:color w:val="000000" w:themeColor="text1"/>
          <w14:ligatures w14:val="none"/>
        </w:rPr>
        <w:t xml:space="preserve"> and </w:t>
      </w:r>
      <w:r w:rsidRPr="005D4218">
        <w:rPr>
          <w:rFonts w:ascii="Arial" w:hAnsi="Arial" w:cs="Arial"/>
          <w:color w:val="000000" w:themeColor="text1"/>
          <w14:ligatures w14:val="none"/>
        </w:rPr>
        <w:t>ocean is even greater</w:t>
      </w:r>
      <w:r>
        <w:rPr>
          <w:rFonts w:ascii="Arial" w:hAnsi="Arial" w:cs="Arial"/>
          <w:color w:val="000000" w:themeColor="text1"/>
          <w14:ligatures w14:val="none"/>
        </w:rPr>
        <w:t>.</w:t>
      </w:r>
    </w:p>
    <w:p w14:paraId="01056206" w14:textId="77777777" w:rsidR="006968E6" w:rsidRDefault="006968E6" w:rsidP="006968E6">
      <w:pPr>
        <w:jc w:val="both"/>
        <w:rPr>
          <w:rFonts w:ascii="Arial" w:hAnsi="Arial" w:cs="Arial"/>
        </w:rPr>
      </w:pPr>
    </w:p>
    <w:p w14:paraId="07B1F3DD" w14:textId="77777777" w:rsidR="006968E6" w:rsidRDefault="006968E6" w:rsidP="006968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14:ligatures w14:val="none"/>
        </w:rPr>
      </w:pPr>
    </w:p>
    <w:p w14:paraId="50E51A55" w14:textId="3E31EE3B" w:rsidR="006968E6" w:rsidRPr="00E5149F" w:rsidRDefault="008E0BEC" w:rsidP="006968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14:ligatures w14:val="none"/>
        </w:rPr>
      </w:pPr>
      <w:r>
        <w:rPr>
          <w:rFonts w:ascii="Arial" w:hAnsi="Arial" w:cs="Arial"/>
          <w:color w:val="000000" w:themeColor="text1"/>
          <w14:ligatures w14:val="none"/>
        </w:rPr>
        <w:t>Finally, t</w:t>
      </w:r>
      <w:r w:rsidR="006968E6">
        <w:rPr>
          <w:rFonts w:ascii="Arial" w:hAnsi="Arial" w:cs="Arial"/>
          <w:color w:val="000000" w:themeColor="text1"/>
          <w14:ligatures w14:val="none"/>
        </w:rPr>
        <w:t xml:space="preserve">he </w:t>
      </w:r>
      <w:r w:rsidR="00A160B1">
        <w:rPr>
          <w:rFonts w:ascii="Arial" w:hAnsi="Arial" w:cs="Arial"/>
          <w:color w:val="000000" w:themeColor="text1"/>
          <w14:ligatures w14:val="none"/>
        </w:rPr>
        <w:t xml:space="preserve">change in the </w:t>
      </w:r>
      <w:r w:rsidR="006968E6">
        <w:rPr>
          <w:rFonts w:ascii="Arial" w:hAnsi="Arial" w:cs="Arial"/>
          <w:color w:val="000000" w:themeColor="text1"/>
          <w14:ligatures w14:val="none"/>
        </w:rPr>
        <w:t>m</w:t>
      </w:r>
      <w:r w:rsidR="006968E6" w:rsidRPr="005D4218">
        <w:rPr>
          <w:rFonts w:ascii="Arial" w:hAnsi="Arial" w:cs="Arial"/>
          <w:color w:val="000000" w:themeColor="text1"/>
          <w14:ligatures w14:val="none"/>
        </w:rPr>
        <w:t xml:space="preserve">agnitude and regional distribution of </w:t>
      </w:r>
      <w:r w:rsidR="00250C2B">
        <w:rPr>
          <w:rFonts w:ascii="Arial" w:hAnsi="Arial" w:cs="Arial"/>
          <w:color w:val="000000" w:themeColor="text1"/>
          <w14:ligatures w14:val="none"/>
        </w:rPr>
        <w:t>organic</w:t>
      </w:r>
      <w:r w:rsidR="006968E6" w:rsidRPr="005D4218">
        <w:rPr>
          <w:rFonts w:ascii="Arial" w:hAnsi="Arial" w:cs="Arial"/>
          <w:color w:val="000000" w:themeColor="text1"/>
          <w14:ligatures w14:val="none"/>
        </w:rPr>
        <w:t xml:space="preserve"> carbon fluxes come from a variety of climate-related modifications to the marine environment </w:t>
      </w:r>
      <w:r w:rsidR="006968E6" w:rsidRPr="00AC696F">
        <w:rPr>
          <w:rFonts w:ascii="Arial" w:hAnsi="Arial" w:cs="Arial"/>
          <w:color w:val="000000" w:themeColor="text1"/>
          <w14:ligatures w14:val="none"/>
        </w:rPr>
        <w:t>(ocean acidification, storminess over the oceans, vertical stratification, changing temperature, increasing sea level, disappearing sea ice, and their combined impacts)</w:t>
      </w:r>
      <w:r w:rsidR="006968E6" w:rsidRPr="005D4218">
        <w:rPr>
          <w:rFonts w:ascii="Arial" w:hAnsi="Arial" w:cs="Arial"/>
          <w:i/>
          <w:iCs/>
          <w:color w:val="000000" w:themeColor="text1"/>
          <w14:ligatures w14:val="none"/>
        </w:rPr>
        <w:t xml:space="preserve">, </w:t>
      </w:r>
      <w:r w:rsidR="006968E6" w:rsidRPr="005D4218">
        <w:rPr>
          <w:rFonts w:ascii="Arial" w:hAnsi="Arial" w:cs="Arial"/>
          <w:color w:val="000000" w:themeColor="text1"/>
          <w14:ligatures w14:val="none"/>
        </w:rPr>
        <w:t>which still need to be better understood and assessed and will likely impact inorganic carbon pools (</w:t>
      </w:r>
      <w:r w:rsidR="006968E6">
        <w:rPr>
          <w:rFonts w:ascii="Arial" w:hAnsi="Arial" w:cs="Arial"/>
          <w:color w:val="000000" w:themeColor="text1"/>
          <w14:ligatures w14:val="none"/>
        </w:rPr>
        <w:t>i.e. the estimates of the</w:t>
      </w:r>
      <w:r w:rsidR="006968E6" w:rsidRPr="005D4218">
        <w:rPr>
          <w:rFonts w:ascii="Arial" w:hAnsi="Arial" w:cs="Arial"/>
          <w:color w:val="000000" w:themeColor="text1"/>
          <w14:ligatures w14:val="none"/>
        </w:rPr>
        <w:t xml:space="preserve"> ocean </w:t>
      </w:r>
      <w:r w:rsidR="006968E6">
        <w:rPr>
          <w:rFonts w:ascii="Arial" w:hAnsi="Arial" w:cs="Arial"/>
          <w:color w:val="000000" w:themeColor="text1"/>
          <w14:ligatures w14:val="none"/>
        </w:rPr>
        <w:t xml:space="preserve">carbon </w:t>
      </w:r>
      <w:r w:rsidR="006968E6" w:rsidRPr="005D4218">
        <w:rPr>
          <w:rFonts w:ascii="Arial" w:hAnsi="Arial" w:cs="Arial"/>
          <w:color w:val="000000" w:themeColor="text1"/>
          <w14:ligatures w14:val="none"/>
        </w:rPr>
        <w:t>sink)</w:t>
      </w:r>
      <w:r w:rsidR="00A160B1">
        <w:rPr>
          <w:rFonts w:ascii="Arial" w:hAnsi="Arial" w:cs="Arial"/>
          <w:color w:val="000000" w:themeColor="text1"/>
          <w14:ligatures w14:val="none"/>
        </w:rPr>
        <w:t>.</w:t>
      </w:r>
    </w:p>
    <w:p w14:paraId="2565B409" w14:textId="77777777" w:rsidR="006968E6" w:rsidRPr="00D15D06" w:rsidRDefault="006968E6" w:rsidP="006968E6">
      <w:pPr>
        <w:rPr>
          <w:rFonts w:ascii="Arial" w:hAnsi="Arial" w:cs="Arial"/>
          <w:color w:val="000000"/>
          <w:highlight w:val="yellow"/>
        </w:rPr>
      </w:pPr>
    </w:p>
    <w:p w14:paraId="49B879BD" w14:textId="7AD1BB51" w:rsidR="006968E6" w:rsidRPr="00F36179" w:rsidRDefault="00F36179" w:rsidP="00E54EBE">
      <w:pPr>
        <w:pStyle w:val="ListParagraph"/>
        <w:numPr>
          <w:ilvl w:val="0"/>
          <w:numId w:val="1"/>
        </w:numPr>
        <w:rPr>
          <w:rFonts w:ascii="Arial" w:hAnsi="Arial" w:cs="Arial"/>
          <w:b/>
          <w:bCs/>
          <w:color w:val="000000"/>
        </w:rPr>
      </w:pPr>
      <w:r>
        <w:rPr>
          <w:rFonts w:ascii="Arial" w:hAnsi="Arial" w:cs="Arial"/>
          <w:b/>
          <w:bCs/>
          <w:color w:val="000000"/>
        </w:rPr>
        <w:t>Aquatic Carbon Roadmap Objectives</w:t>
      </w:r>
    </w:p>
    <w:p w14:paraId="6D64B8B7" w14:textId="77777777" w:rsidR="006968E6" w:rsidRDefault="006968E6" w:rsidP="006968E6">
      <w:pPr>
        <w:rPr>
          <w:rFonts w:ascii="Arial" w:hAnsi="Arial" w:cs="Arial"/>
          <w:color w:val="000000"/>
        </w:rPr>
      </w:pPr>
    </w:p>
    <w:p w14:paraId="3576844D" w14:textId="4E5EDA67" w:rsidR="00EE6605" w:rsidRDefault="00250C2B" w:rsidP="006968E6">
      <w:pPr>
        <w:rPr>
          <w:rFonts w:ascii="Arial" w:hAnsi="Arial" w:cs="Arial"/>
          <w:color w:val="000000"/>
        </w:rPr>
      </w:pPr>
      <w:r>
        <w:rPr>
          <w:rFonts w:ascii="Arial" w:hAnsi="Arial" w:cs="Arial"/>
          <w:color w:val="000000"/>
        </w:rPr>
        <w:t>In this context, the development of an Aquatic Carbon Roadmap, as the third component of the CEOS Carbon Strategy (following the GHG and AFOLU roadmaps), appears very timely and necessary.</w:t>
      </w:r>
    </w:p>
    <w:p w14:paraId="746C2627" w14:textId="2A18CCBB" w:rsidR="00416EBD" w:rsidRDefault="00416EBD" w:rsidP="006968E6">
      <w:pPr>
        <w:rPr>
          <w:rFonts w:ascii="Arial" w:hAnsi="Arial" w:cs="Arial"/>
          <w:color w:val="000000"/>
        </w:rPr>
      </w:pPr>
      <w:r>
        <w:rPr>
          <w:rFonts w:ascii="Arial" w:hAnsi="Arial" w:cs="Arial"/>
          <w:color w:val="000000"/>
        </w:rPr>
        <w:t>The main objectives of such a roadmap would be:</w:t>
      </w:r>
    </w:p>
    <w:p w14:paraId="76A6EE74" w14:textId="0D99B290" w:rsidR="002E2D95" w:rsidRPr="00884B1E" w:rsidRDefault="00416EBD" w:rsidP="00416EBD">
      <w:pPr>
        <w:numPr>
          <w:ilvl w:val="0"/>
          <w:numId w:val="11"/>
        </w:numPr>
        <w:jc w:val="both"/>
        <w:rPr>
          <w:rFonts w:ascii="Arial" w:hAnsi="Arial" w:cs="Arial"/>
          <w:color w:val="000000"/>
        </w:rPr>
      </w:pPr>
      <w:r w:rsidRPr="00416EBD">
        <w:rPr>
          <w:rFonts w:ascii="Arial" w:hAnsi="Arial" w:cs="Arial"/>
          <w:color w:val="000000"/>
          <w:lang w:val="en-GB"/>
        </w:rPr>
        <w:t xml:space="preserve">To provide a framework and serve as a guiding vision for long term (~ 15+ years) coordination of CEOS agency observing programmes in support of the </w:t>
      </w:r>
      <w:r w:rsidR="00146D5C">
        <w:rPr>
          <w:rFonts w:ascii="Arial" w:hAnsi="Arial" w:cs="Arial"/>
          <w:color w:val="000000"/>
          <w:lang w:val="en-GB"/>
        </w:rPr>
        <w:t xml:space="preserve">science and policy </w:t>
      </w:r>
      <w:r w:rsidRPr="00416EBD">
        <w:rPr>
          <w:rFonts w:ascii="Arial" w:hAnsi="Arial" w:cs="Arial"/>
          <w:color w:val="000000"/>
          <w:lang w:val="en-GB"/>
        </w:rPr>
        <w:t>needs for Aquatic carbon related information</w:t>
      </w:r>
      <w:r w:rsidR="004E3113">
        <w:rPr>
          <w:rFonts w:ascii="Arial" w:hAnsi="Arial" w:cs="Arial"/>
          <w:color w:val="000000"/>
          <w:lang w:val="en-GB"/>
        </w:rPr>
        <w:t xml:space="preserve"> </w:t>
      </w:r>
      <w:r w:rsidRPr="00416EBD">
        <w:rPr>
          <w:rFonts w:ascii="Arial" w:hAnsi="Arial" w:cs="Arial"/>
          <w:color w:val="000000"/>
          <w:lang w:val="en-GB"/>
        </w:rPr>
        <w:t xml:space="preserve">in the context of the CEOS carbon strategy. </w:t>
      </w:r>
    </w:p>
    <w:p w14:paraId="1D68FD68" w14:textId="0DE79378" w:rsidR="00416EBD" w:rsidRPr="002E2D95" w:rsidRDefault="002E2D95" w:rsidP="002E2D95">
      <w:pPr>
        <w:numPr>
          <w:ilvl w:val="0"/>
          <w:numId w:val="11"/>
        </w:numPr>
        <w:jc w:val="both"/>
        <w:rPr>
          <w:rFonts w:ascii="Arial" w:hAnsi="Arial" w:cs="Arial"/>
          <w:color w:val="000000"/>
        </w:rPr>
      </w:pPr>
      <w:r w:rsidRPr="00416EBD">
        <w:rPr>
          <w:rFonts w:ascii="Arial" w:hAnsi="Arial" w:cs="Arial"/>
          <w:color w:val="000000"/>
          <w:lang w:val="en-GB"/>
        </w:rPr>
        <w:t xml:space="preserve">To </w:t>
      </w:r>
      <w:r w:rsidRPr="00416EBD">
        <w:rPr>
          <w:rFonts w:ascii="Arial" w:hAnsi="Arial" w:cs="Arial"/>
          <w:color w:val="000000"/>
        </w:rPr>
        <w:t xml:space="preserve">characterize the needs, </w:t>
      </w:r>
      <w:proofErr w:type="gramStart"/>
      <w:r w:rsidRPr="00416EBD">
        <w:rPr>
          <w:rFonts w:ascii="Arial" w:hAnsi="Arial" w:cs="Arial"/>
          <w:color w:val="000000"/>
        </w:rPr>
        <w:t>gaps</w:t>
      </w:r>
      <w:proofErr w:type="gramEnd"/>
      <w:r w:rsidRPr="00416EBD">
        <w:rPr>
          <w:rFonts w:ascii="Arial" w:hAnsi="Arial" w:cs="Arial"/>
          <w:color w:val="000000"/>
        </w:rPr>
        <w:t xml:space="preserve"> and challenges, regarding the required </w:t>
      </w:r>
      <w:r>
        <w:rPr>
          <w:rFonts w:ascii="Arial" w:hAnsi="Arial" w:cs="Arial"/>
          <w:color w:val="000000"/>
        </w:rPr>
        <w:t xml:space="preserve">data and </w:t>
      </w:r>
      <w:r w:rsidRPr="00416EBD">
        <w:rPr>
          <w:rFonts w:ascii="Arial" w:hAnsi="Arial" w:cs="Arial"/>
          <w:color w:val="000000"/>
        </w:rPr>
        <w:t>products</w:t>
      </w:r>
      <w:r>
        <w:rPr>
          <w:rFonts w:ascii="Arial" w:hAnsi="Arial" w:cs="Arial"/>
          <w:color w:val="000000"/>
        </w:rPr>
        <w:t xml:space="preserve"> to support science,</w:t>
      </w:r>
      <w:r w:rsidRPr="00416EBD">
        <w:rPr>
          <w:rFonts w:ascii="Arial" w:hAnsi="Arial" w:cs="Arial"/>
          <w:color w:val="000000"/>
        </w:rPr>
        <w:t xml:space="preserve"> services and applications</w:t>
      </w:r>
      <w:r>
        <w:rPr>
          <w:rFonts w:ascii="Arial" w:hAnsi="Arial" w:cs="Arial"/>
          <w:color w:val="000000"/>
        </w:rPr>
        <w:t>.</w:t>
      </w:r>
      <w:r>
        <w:rPr>
          <w:rFonts w:ascii="Arial" w:hAnsi="Arial" w:cs="Arial"/>
          <w:color w:val="000000"/>
          <w:lang w:val="en-GB"/>
        </w:rPr>
        <w:t xml:space="preserve"> Such products include</w:t>
      </w:r>
      <w:r w:rsidR="00416EBD" w:rsidRPr="002E2D95">
        <w:rPr>
          <w:rFonts w:ascii="Arial" w:hAnsi="Arial" w:cs="Arial"/>
          <w:color w:val="000000"/>
          <w:lang w:val="en-GB"/>
        </w:rPr>
        <w:t xml:space="preserve"> (not exhaustive list):</w:t>
      </w:r>
    </w:p>
    <w:p w14:paraId="5FCE4942" w14:textId="081118B2" w:rsidR="00416EBD" w:rsidRPr="00416EBD" w:rsidRDefault="00416EBD" w:rsidP="00416EBD">
      <w:pPr>
        <w:numPr>
          <w:ilvl w:val="4"/>
          <w:numId w:val="11"/>
        </w:numPr>
        <w:tabs>
          <w:tab w:val="clear" w:pos="3600"/>
          <w:tab w:val="num" w:pos="3240"/>
        </w:tabs>
        <w:ind w:left="1620" w:hanging="900"/>
        <w:jc w:val="both"/>
        <w:rPr>
          <w:rFonts w:ascii="Arial" w:hAnsi="Arial" w:cs="Arial"/>
          <w:color w:val="000000"/>
        </w:rPr>
      </w:pPr>
      <w:r w:rsidRPr="00416EBD">
        <w:rPr>
          <w:rFonts w:ascii="Arial" w:hAnsi="Arial" w:cs="Arial"/>
          <w:i/>
          <w:iCs/>
          <w:color w:val="000000"/>
        </w:rPr>
        <w:t>Satellite-based aquatic carbon products and associated uncertainties to constrain models better, and through enhanced integration with field observations and models, to reduce uncertainties in carbon fluxes and in the global carbon budget</w:t>
      </w:r>
      <w:r w:rsidR="00884B1E">
        <w:rPr>
          <w:rFonts w:ascii="Arial" w:hAnsi="Arial" w:cs="Arial"/>
          <w:i/>
          <w:iCs/>
          <w:color w:val="000000"/>
        </w:rPr>
        <w:t>.</w:t>
      </w:r>
    </w:p>
    <w:p w14:paraId="07DD57F3" w14:textId="497A8D24" w:rsidR="00416EBD" w:rsidRPr="00416EBD" w:rsidRDefault="00416EBD" w:rsidP="00416EBD">
      <w:pPr>
        <w:numPr>
          <w:ilvl w:val="4"/>
          <w:numId w:val="11"/>
        </w:numPr>
        <w:tabs>
          <w:tab w:val="clear" w:pos="3600"/>
          <w:tab w:val="num" w:pos="3240"/>
        </w:tabs>
        <w:ind w:left="1620" w:hanging="900"/>
        <w:jc w:val="both"/>
        <w:rPr>
          <w:rFonts w:ascii="Arial" w:hAnsi="Arial" w:cs="Arial"/>
          <w:color w:val="000000"/>
        </w:rPr>
      </w:pPr>
      <w:r w:rsidRPr="00416EBD">
        <w:rPr>
          <w:rFonts w:ascii="Arial" w:hAnsi="Arial" w:cs="Arial"/>
          <w:i/>
          <w:iCs/>
          <w:color w:val="000000"/>
        </w:rPr>
        <w:t>Satellite-based mapping of the extent of blue carbon ecosystems at the global scale, and through enhanced integration with field observations, of blue carbon ecosystems carbon content</w:t>
      </w:r>
      <w:r w:rsidR="00A160B1">
        <w:rPr>
          <w:rFonts w:ascii="Arial" w:hAnsi="Arial" w:cs="Arial"/>
          <w:i/>
          <w:iCs/>
          <w:color w:val="000000"/>
        </w:rPr>
        <w:t xml:space="preserve"> and its dynamics</w:t>
      </w:r>
      <w:r w:rsidRPr="00416EBD">
        <w:rPr>
          <w:rFonts w:ascii="Arial" w:hAnsi="Arial" w:cs="Arial"/>
          <w:i/>
          <w:iCs/>
          <w:color w:val="000000"/>
        </w:rPr>
        <w:t>.</w:t>
      </w:r>
    </w:p>
    <w:p w14:paraId="5183B921" w14:textId="77777777" w:rsidR="00416EBD" w:rsidRPr="00416EBD" w:rsidRDefault="00416EBD" w:rsidP="00416EBD">
      <w:pPr>
        <w:numPr>
          <w:ilvl w:val="4"/>
          <w:numId w:val="11"/>
        </w:numPr>
        <w:tabs>
          <w:tab w:val="clear" w:pos="3600"/>
          <w:tab w:val="num" w:pos="3240"/>
        </w:tabs>
        <w:ind w:left="1620" w:hanging="900"/>
        <w:jc w:val="both"/>
        <w:rPr>
          <w:rFonts w:ascii="Arial" w:hAnsi="Arial" w:cs="Arial"/>
          <w:color w:val="000000"/>
        </w:rPr>
      </w:pPr>
      <w:r w:rsidRPr="00416EBD">
        <w:rPr>
          <w:rFonts w:ascii="Arial" w:hAnsi="Arial" w:cs="Arial"/>
          <w:i/>
          <w:iCs/>
          <w:color w:val="000000"/>
        </w:rPr>
        <w:t xml:space="preserve">Satellite-based Tools/Products/Indicators to support policy needs with a main focus on the needs and ambition cycle of the Global </w:t>
      </w:r>
      <w:proofErr w:type="spellStart"/>
      <w:r w:rsidRPr="00416EBD">
        <w:rPr>
          <w:rFonts w:ascii="Arial" w:hAnsi="Arial" w:cs="Arial"/>
          <w:i/>
          <w:iCs/>
          <w:color w:val="000000"/>
        </w:rPr>
        <w:t>Stocktake</w:t>
      </w:r>
      <w:proofErr w:type="spellEnd"/>
      <w:r w:rsidRPr="00416EBD">
        <w:rPr>
          <w:rFonts w:ascii="Arial" w:hAnsi="Arial" w:cs="Arial"/>
          <w:i/>
          <w:iCs/>
          <w:color w:val="000000"/>
        </w:rPr>
        <w:t xml:space="preserve"> of the Paris Climate Agreement. </w:t>
      </w:r>
    </w:p>
    <w:p w14:paraId="5A062ADC" w14:textId="5D510D4C" w:rsidR="00416EBD" w:rsidRPr="00884B1E" w:rsidRDefault="002E2D95" w:rsidP="00884B1E">
      <w:pPr>
        <w:pStyle w:val="ListParagraph"/>
        <w:numPr>
          <w:ilvl w:val="0"/>
          <w:numId w:val="14"/>
        </w:numPr>
        <w:jc w:val="both"/>
        <w:rPr>
          <w:rFonts w:ascii="Arial" w:hAnsi="Arial" w:cs="Arial"/>
          <w:color w:val="000000"/>
        </w:rPr>
      </w:pPr>
      <w:r w:rsidRPr="00884B1E">
        <w:rPr>
          <w:rFonts w:ascii="Arial" w:hAnsi="Arial" w:cs="Arial"/>
          <w:color w:val="000000"/>
        </w:rPr>
        <w:t>To characterize the needs, gaps and challenges regarding</w:t>
      </w:r>
      <w:r w:rsidR="00416EBD" w:rsidRPr="00884B1E">
        <w:rPr>
          <w:rFonts w:ascii="Arial" w:hAnsi="Arial" w:cs="Arial"/>
          <w:color w:val="000000"/>
        </w:rPr>
        <w:t xml:space="preserve"> the observing systems that can support</w:t>
      </w:r>
      <w:r w:rsidRPr="00884B1E">
        <w:rPr>
          <w:rFonts w:ascii="Arial" w:hAnsi="Arial" w:cs="Arial"/>
          <w:color w:val="000000"/>
        </w:rPr>
        <w:t xml:space="preserve"> the above developments</w:t>
      </w:r>
      <w:r w:rsidR="00416EBD" w:rsidRPr="00884B1E">
        <w:rPr>
          <w:rFonts w:ascii="Arial" w:hAnsi="Arial" w:cs="Arial"/>
          <w:color w:val="000000"/>
        </w:rPr>
        <w:t xml:space="preserve">, including the needs to plan for ground </w:t>
      </w:r>
      <w:r w:rsidRPr="00884B1E">
        <w:rPr>
          <w:rFonts w:ascii="Arial" w:hAnsi="Arial" w:cs="Arial"/>
          <w:color w:val="000000"/>
        </w:rPr>
        <w:t xml:space="preserve">and space </w:t>
      </w:r>
      <w:r w:rsidR="00416EBD" w:rsidRPr="00884B1E">
        <w:rPr>
          <w:rFonts w:ascii="Arial" w:hAnsi="Arial" w:cs="Arial"/>
          <w:color w:val="000000"/>
        </w:rPr>
        <w:t>segment</w:t>
      </w:r>
      <w:r w:rsidRPr="00884B1E">
        <w:rPr>
          <w:rFonts w:ascii="Arial" w:hAnsi="Arial" w:cs="Arial"/>
          <w:color w:val="000000"/>
        </w:rPr>
        <w:t>s.</w:t>
      </w:r>
      <w:r w:rsidR="00416EBD" w:rsidRPr="00884B1E">
        <w:rPr>
          <w:rFonts w:ascii="Arial" w:hAnsi="Arial" w:cs="Arial"/>
          <w:color w:val="000000"/>
        </w:rPr>
        <w:t> </w:t>
      </w:r>
      <w:r w:rsidRPr="00884B1E">
        <w:rPr>
          <w:rFonts w:ascii="Arial" w:hAnsi="Arial" w:cs="Arial"/>
          <w:color w:val="000000"/>
        </w:rPr>
        <w:t>This includes</w:t>
      </w:r>
      <w:r w:rsidR="00884B1E" w:rsidRPr="00884B1E">
        <w:rPr>
          <w:rFonts w:ascii="Arial" w:hAnsi="Arial" w:cs="Arial"/>
          <w:color w:val="000000"/>
        </w:rPr>
        <w:t xml:space="preserve"> </w:t>
      </w:r>
      <w:r w:rsidR="00416EBD" w:rsidRPr="00884B1E">
        <w:rPr>
          <w:rFonts w:ascii="Arial" w:hAnsi="Arial" w:cs="Arial"/>
          <w:color w:val="000000"/>
        </w:rPr>
        <w:t>address</w:t>
      </w:r>
      <w:r w:rsidRPr="00884B1E">
        <w:rPr>
          <w:rFonts w:ascii="Arial" w:hAnsi="Arial" w:cs="Arial"/>
          <w:color w:val="000000"/>
        </w:rPr>
        <w:t>ing</w:t>
      </w:r>
      <w:r w:rsidR="00416EBD" w:rsidRPr="00884B1E">
        <w:rPr>
          <w:rFonts w:ascii="Arial" w:hAnsi="Arial" w:cs="Arial"/>
          <w:color w:val="000000"/>
        </w:rPr>
        <w:t xml:space="preserve"> basic observation continuity and the necessary agency coordination to achieve it.</w:t>
      </w:r>
    </w:p>
    <w:p w14:paraId="39A73062" w14:textId="77777777" w:rsidR="00416EBD" w:rsidRPr="00416EBD" w:rsidRDefault="00416EBD" w:rsidP="00416EBD">
      <w:pPr>
        <w:numPr>
          <w:ilvl w:val="0"/>
          <w:numId w:val="11"/>
        </w:numPr>
        <w:jc w:val="both"/>
        <w:rPr>
          <w:rFonts w:ascii="Arial" w:hAnsi="Arial" w:cs="Arial"/>
          <w:color w:val="000000"/>
        </w:rPr>
      </w:pPr>
      <w:r w:rsidRPr="00416EBD">
        <w:rPr>
          <w:rFonts w:ascii="Arial" w:hAnsi="Arial" w:cs="Arial"/>
          <w:color w:val="000000"/>
        </w:rPr>
        <w:t>To serve as an effective means for communicating our intentions to society, UNFCCC, national inventory community</w:t>
      </w:r>
    </w:p>
    <w:p w14:paraId="18B35DCE" w14:textId="77777777" w:rsidR="00416EBD" w:rsidRDefault="00416EBD" w:rsidP="006968E6">
      <w:pPr>
        <w:rPr>
          <w:rFonts w:ascii="Arial" w:hAnsi="Arial" w:cs="Arial"/>
          <w:color w:val="000000"/>
        </w:rPr>
      </w:pPr>
    </w:p>
    <w:p w14:paraId="5DE33608" w14:textId="77777777" w:rsidR="00716E01" w:rsidRDefault="00716E01" w:rsidP="006968E6">
      <w:pPr>
        <w:rPr>
          <w:rFonts w:ascii="Arial" w:hAnsi="Arial" w:cs="Arial"/>
          <w:color w:val="000000"/>
        </w:rPr>
      </w:pPr>
    </w:p>
    <w:p w14:paraId="68517B09" w14:textId="77777777" w:rsidR="008E0BEC" w:rsidRDefault="008E0BEC" w:rsidP="00E54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14:ligatures w14:val="none"/>
        </w:rPr>
      </w:pPr>
    </w:p>
    <w:p w14:paraId="0E21F7C1" w14:textId="51669979" w:rsidR="008E0BEC" w:rsidRPr="00884B1E" w:rsidRDefault="008E0BEC" w:rsidP="00884B1E">
      <w:pPr>
        <w:pStyle w:val="ListParagraph"/>
        <w:numPr>
          <w:ilvl w:val="0"/>
          <w:numId w:val="1"/>
        </w:numPr>
        <w:rPr>
          <w:rFonts w:ascii="Arial" w:hAnsi="Arial" w:cs="Arial"/>
          <w:b/>
          <w:bCs/>
          <w:color w:val="000000"/>
        </w:rPr>
      </w:pPr>
      <w:r w:rsidRPr="00884B1E">
        <w:rPr>
          <w:rFonts w:ascii="Arial" w:hAnsi="Arial" w:cs="Arial"/>
          <w:b/>
          <w:bCs/>
          <w:color w:val="000000"/>
        </w:rPr>
        <w:lastRenderedPageBreak/>
        <w:t xml:space="preserve">Topics </w:t>
      </w:r>
      <w:proofErr w:type="gramStart"/>
      <w:r w:rsidRPr="00884B1E">
        <w:rPr>
          <w:rFonts w:ascii="Arial" w:hAnsi="Arial" w:cs="Arial"/>
          <w:b/>
          <w:bCs/>
          <w:color w:val="000000"/>
        </w:rPr>
        <w:t>covered</w:t>
      </w:r>
      <w:proofErr w:type="gramEnd"/>
    </w:p>
    <w:p w14:paraId="56B34648" w14:textId="5B9A9FF8" w:rsidR="00A56AB3" w:rsidRDefault="00C7592F" w:rsidP="00E54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14:ligatures w14:val="none"/>
        </w:rPr>
      </w:pPr>
      <w:r>
        <w:rPr>
          <w:rFonts w:ascii="Arial" w:hAnsi="Arial" w:cs="Arial"/>
          <w:color w:val="000000" w:themeColor="text1"/>
          <w14:ligatures w14:val="none"/>
        </w:rPr>
        <w:t xml:space="preserve">Both the GHG and AFOLU roadmap </w:t>
      </w:r>
      <w:r w:rsidR="00884B1E">
        <w:rPr>
          <w:rFonts w:ascii="Arial" w:hAnsi="Arial" w:cs="Arial"/>
          <w:color w:val="000000" w:themeColor="text1"/>
          <w14:ligatures w14:val="none"/>
        </w:rPr>
        <w:t>have a strong focus on t</w:t>
      </w:r>
      <w:r w:rsidR="00884B1E" w:rsidRPr="00C7592F">
        <w:rPr>
          <w:rFonts w:ascii="Arial" w:hAnsi="Arial" w:cs="Arial"/>
          <w:color w:val="000000" w:themeColor="text1"/>
          <w:lang w:val="en-GB"/>
          <w14:ligatures w14:val="none"/>
        </w:rPr>
        <w:t xml:space="preserve">he major milestones of GST1 (2023) and subsequently for GST2 (2028) and </w:t>
      </w:r>
      <w:r w:rsidR="00A56AB3">
        <w:rPr>
          <w:rFonts w:ascii="Arial" w:hAnsi="Arial" w:cs="Arial"/>
          <w:color w:val="000000" w:themeColor="text1"/>
          <w14:ligatures w14:val="none"/>
        </w:rPr>
        <w:t>how</w:t>
      </w:r>
      <w:r w:rsidR="00A56AB3">
        <w:rPr>
          <w:rFonts w:ascii="Arial" w:hAnsi="Arial" w:cs="Arial"/>
          <w:color w:val="000000" w:themeColor="text1"/>
          <w14:ligatures w14:val="none"/>
        </w:rPr>
        <w:t xml:space="preserve"> remote sensing data </w:t>
      </w:r>
      <w:r w:rsidR="00A56AB3">
        <w:rPr>
          <w:rFonts w:ascii="Arial" w:hAnsi="Arial" w:cs="Arial"/>
          <w:color w:val="000000" w:themeColor="text1"/>
          <w14:ligatures w14:val="none"/>
        </w:rPr>
        <w:t>can effectively support these by</w:t>
      </w:r>
      <w:r w:rsidR="00A56AB3">
        <w:rPr>
          <w:rFonts w:ascii="Arial" w:hAnsi="Arial" w:cs="Arial"/>
          <w:color w:val="000000" w:themeColor="text1"/>
          <w14:ligatures w14:val="none"/>
        </w:rPr>
        <w:t xml:space="preserve"> </w:t>
      </w:r>
      <w:r w:rsidR="00A56AB3">
        <w:rPr>
          <w:rFonts w:ascii="Arial" w:hAnsi="Arial" w:cs="Arial"/>
          <w:color w:val="000000" w:themeColor="text1"/>
          <w14:ligatures w14:val="none"/>
        </w:rPr>
        <w:t>providing means to monitor</w:t>
      </w:r>
      <w:r w:rsidR="00A56AB3">
        <w:rPr>
          <w:rFonts w:ascii="Arial" w:hAnsi="Arial" w:cs="Arial"/>
          <w:color w:val="000000" w:themeColor="text1"/>
          <w14:ligatures w14:val="none"/>
        </w:rPr>
        <w:t xml:space="preserve"> carbon</w:t>
      </w:r>
      <w:r w:rsidR="00A56AB3" w:rsidRPr="00716E01">
        <w:rPr>
          <w:rFonts w:ascii="Arial" w:hAnsi="Arial" w:cs="Arial"/>
          <w:color w:val="000000" w:themeColor="text1"/>
          <w14:ligatures w14:val="none"/>
        </w:rPr>
        <w:t xml:space="preserve"> emissions and removals</w:t>
      </w:r>
      <w:r w:rsidR="00A56AB3">
        <w:rPr>
          <w:rFonts w:ascii="Arial" w:hAnsi="Arial" w:cs="Arial"/>
          <w:color w:val="000000" w:themeColor="text1"/>
          <w14:ligatures w14:val="none"/>
        </w:rPr>
        <w:t xml:space="preserve">, based either on a top-down approach (GHG roadmap) or a bottom-up approach (AFOLU roadmap). </w:t>
      </w:r>
      <w:r w:rsidR="00A56AB3" w:rsidRPr="00716E01">
        <w:rPr>
          <w:rFonts w:ascii="Arial" w:hAnsi="Arial" w:cs="Arial"/>
          <w:color w:val="000000" w:themeColor="text1"/>
          <w14:ligatures w14:val="none"/>
        </w:rPr>
        <w:t xml:space="preserve"> </w:t>
      </w:r>
    </w:p>
    <w:p w14:paraId="5A881C1E" w14:textId="77528B99" w:rsidR="008E0BEC" w:rsidRDefault="00A56AB3" w:rsidP="00E54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14:ligatures w14:val="none"/>
        </w:rPr>
      </w:pPr>
      <w:proofErr w:type="gramStart"/>
      <w:r>
        <w:rPr>
          <w:rFonts w:ascii="Arial" w:hAnsi="Arial" w:cs="Arial"/>
          <w:color w:val="000000" w:themeColor="text1"/>
          <w14:ligatures w14:val="none"/>
        </w:rPr>
        <w:t>In order to</w:t>
      </w:r>
      <w:proofErr w:type="gramEnd"/>
      <w:r>
        <w:rPr>
          <w:rFonts w:ascii="Arial" w:hAnsi="Arial" w:cs="Arial"/>
          <w:color w:val="000000" w:themeColor="text1"/>
          <w14:ligatures w14:val="none"/>
        </w:rPr>
        <w:t xml:space="preserve"> address the objectives of the Aquatic Carbon roadmap, and effectively contribute to supporting the GST process, </w:t>
      </w:r>
      <w:r w:rsidR="008E0BEC">
        <w:rPr>
          <w:rFonts w:ascii="Arial" w:hAnsi="Arial" w:cs="Arial"/>
          <w:color w:val="000000" w:themeColor="text1"/>
          <w14:ligatures w14:val="none"/>
        </w:rPr>
        <w:t>t</w:t>
      </w:r>
      <w:r w:rsidR="008E0BEC" w:rsidRPr="008E0BEC">
        <w:rPr>
          <w:rFonts w:ascii="Arial" w:hAnsi="Arial" w:cs="Arial"/>
          <w:color w:val="000000" w:themeColor="text1"/>
          <w14:ligatures w14:val="none"/>
        </w:rPr>
        <w:t>he Aquatic carbon roadmap not</w:t>
      </w:r>
      <w:r w:rsidR="008E0BEC">
        <w:rPr>
          <w:rFonts w:ascii="Arial" w:hAnsi="Arial" w:cs="Arial"/>
          <w:color w:val="000000" w:themeColor="text1"/>
          <w14:ligatures w14:val="none"/>
        </w:rPr>
        <w:t xml:space="preserve"> only will</w:t>
      </w:r>
      <w:r w:rsidR="008E0BEC" w:rsidRPr="008E0BEC">
        <w:rPr>
          <w:rFonts w:ascii="Arial" w:hAnsi="Arial" w:cs="Arial"/>
          <w:color w:val="000000" w:themeColor="text1"/>
          <w14:ligatures w14:val="none"/>
        </w:rPr>
        <w:t xml:space="preserve"> </w:t>
      </w:r>
      <w:r>
        <w:rPr>
          <w:rFonts w:ascii="Arial" w:hAnsi="Arial" w:cs="Arial"/>
          <w:color w:val="000000" w:themeColor="text1"/>
          <w14:ligatures w14:val="none"/>
        </w:rPr>
        <w:t>cover</w:t>
      </w:r>
      <w:r w:rsidR="008E0BEC" w:rsidRPr="008E0BEC">
        <w:rPr>
          <w:rFonts w:ascii="Arial" w:hAnsi="Arial" w:cs="Arial"/>
          <w:color w:val="000000" w:themeColor="text1"/>
          <w14:ligatures w14:val="none"/>
        </w:rPr>
        <w:t xml:space="preserve"> the </w:t>
      </w:r>
      <w:r w:rsidR="008E0BEC">
        <w:rPr>
          <w:rFonts w:ascii="Arial" w:hAnsi="Arial" w:cs="Arial"/>
          <w:color w:val="000000" w:themeColor="text1"/>
          <w14:ligatures w14:val="none"/>
        </w:rPr>
        <w:t xml:space="preserve">specific topic of </w:t>
      </w:r>
      <w:r w:rsidR="008E0BEC" w:rsidRPr="008E0BEC">
        <w:rPr>
          <w:rFonts w:ascii="Arial" w:hAnsi="Arial" w:cs="Arial"/>
          <w:color w:val="000000" w:themeColor="text1"/>
          <w14:ligatures w14:val="none"/>
        </w:rPr>
        <w:t xml:space="preserve">ocean carbon sink (air-sea CO2 exchange) </w:t>
      </w:r>
      <w:r w:rsidRPr="008E0BEC">
        <w:rPr>
          <w:rFonts w:ascii="Arial" w:hAnsi="Arial" w:cs="Arial"/>
          <w:color w:val="000000" w:themeColor="text1"/>
          <w14:ligatures w14:val="none"/>
        </w:rPr>
        <w:t>monitoring,</w:t>
      </w:r>
      <w:r w:rsidR="008E0BEC" w:rsidRPr="008E0BEC">
        <w:rPr>
          <w:rFonts w:ascii="Arial" w:hAnsi="Arial" w:cs="Arial"/>
          <w:color w:val="000000" w:themeColor="text1"/>
          <w14:ligatures w14:val="none"/>
        </w:rPr>
        <w:t xml:space="preserve"> but</w:t>
      </w:r>
      <w:r w:rsidR="008E0BEC">
        <w:rPr>
          <w:rFonts w:ascii="Arial" w:hAnsi="Arial" w:cs="Arial"/>
          <w:color w:val="000000" w:themeColor="text1"/>
          <w14:ligatures w14:val="none"/>
        </w:rPr>
        <w:t xml:space="preserve"> the intent is, </w:t>
      </w:r>
      <w:r w:rsidR="008E0BEC" w:rsidRPr="008E0BEC">
        <w:rPr>
          <w:rFonts w:ascii="Arial" w:hAnsi="Arial" w:cs="Arial"/>
          <w:color w:val="000000" w:themeColor="text1"/>
          <w14:ligatures w14:val="none"/>
        </w:rPr>
        <w:t>more widely</w:t>
      </w:r>
      <w:r w:rsidR="008E0BEC">
        <w:rPr>
          <w:rFonts w:ascii="Arial" w:hAnsi="Arial" w:cs="Arial"/>
          <w:color w:val="000000" w:themeColor="text1"/>
          <w14:ligatures w14:val="none"/>
        </w:rPr>
        <w:t>, to</w:t>
      </w:r>
      <w:r w:rsidR="008E0BEC" w:rsidRPr="008E0BEC">
        <w:rPr>
          <w:rFonts w:ascii="Arial" w:hAnsi="Arial" w:cs="Arial"/>
          <w:color w:val="000000" w:themeColor="text1"/>
          <w14:ligatures w14:val="none"/>
        </w:rPr>
        <w:t>:</w:t>
      </w:r>
    </w:p>
    <w:p w14:paraId="5DBC8A23" w14:textId="5B7A8BB6" w:rsidR="008E0BEC" w:rsidRPr="00E43A6F" w:rsidRDefault="008E0BEC" w:rsidP="00E43A6F">
      <w:pPr>
        <w:pStyle w:val="ListParagraph"/>
        <w:numPr>
          <w:ilvl w:val="0"/>
          <w:numId w:val="19"/>
        </w:numPr>
        <w:jc w:val="both"/>
        <w:rPr>
          <w:rFonts w:ascii="Arial" w:hAnsi="Arial" w:cs="Arial"/>
          <w:color w:val="000000"/>
        </w:rPr>
      </w:pPr>
      <w:r w:rsidRPr="00E43A6F">
        <w:rPr>
          <w:rFonts w:ascii="Arial" w:hAnsi="Arial" w:cs="Arial"/>
          <w:color w:val="000000"/>
        </w:rPr>
        <w:t xml:space="preserve">address </w:t>
      </w:r>
      <w:r w:rsidR="00484A4B" w:rsidRPr="00E43A6F">
        <w:rPr>
          <w:rFonts w:ascii="Arial" w:hAnsi="Arial" w:cs="Arial"/>
          <w:color w:val="000000"/>
        </w:rPr>
        <w:t xml:space="preserve">all horizontal (from lakes to coastal and open oceans) and vertical dimensions, including the vertical transport of carbon from the surface to the deep ocean (building on the synergy with in-situ data (BGC-Argo) and models), and carbon fluxes across systems such as the exchange of CO2 with atmosphere, and the land to ocean aquatic continuum. </w:t>
      </w:r>
    </w:p>
    <w:p w14:paraId="61E4D93C" w14:textId="7BA15501" w:rsidR="00484A4B" w:rsidRPr="00E43A6F" w:rsidRDefault="008E0BEC" w:rsidP="00E43A6F">
      <w:pPr>
        <w:pStyle w:val="ListParagraph"/>
        <w:numPr>
          <w:ilvl w:val="0"/>
          <w:numId w:val="19"/>
        </w:numPr>
        <w:jc w:val="both"/>
        <w:rPr>
          <w:rFonts w:ascii="Arial" w:hAnsi="Arial" w:cs="Arial"/>
          <w:color w:val="000000"/>
        </w:rPr>
      </w:pPr>
      <w:r w:rsidRPr="00E43A6F">
        <w:rPr>
          <w:rFonts w:ascii="Arial" w:hAnsi="Arial" w:cs="Arial"/>
          <w:color w:val="000000"/>
        </w:rPr>
        <w:t>address</w:t>
      </w:r>
      <w:r w:rsidR="006968E6" w:rsidRPr="00E43A6F">
        <w:rPr>
          <w:rFonts w:ascii="Arial" w:hAnsi="Arial" w:cs="Arial"/>
          <w:color w:val="000000"/>
        </w:rPr>
        <w:t xml:space="preserve"> </w:t>
      </w:r>
      <w:r w:rsidR="00484A4B" w:rsidRPr="00E43A6F">
        <w:rPr>
          <w:rFonts w:ascii="Arial" w:hAnsi="Arial" w:cs="Arial"/>
          <w:color w:val="000000"/>
        </w:rPr>
        <w:t>the linkages between organic and inorganic carbon and how they relate to each other</w:t>
      </w:r>
      <w:r w:rsidR="00884B1E" w:rsidRPr="00E43A6F">
        <w:rPr>
          <w:rFonts w:ascii="Arial" w:hAnsi="Arial" w:cs="Arial"/>
          <w:color w:val="000000"/>
        </w:rPr>
        <w:t xml:space="preserve"> </w:t>
      </w:r>
      <w:r w:rsidR="00484A4B" w:rsidRPr="00E43A6F">
        <w:rPr>
          <w:rFonts w:ascii="Arial" w:hAnsi="Arial" w:cs="Arial"/>
          <w:color w:val="000000"/>
        </w:rPr>
        <w:t xml:space="preserve">and cover all the components of the Earth System from including the assessment of how long the </w:t>
      </w:r>
      <w:r w:rsidR="001C236B">
        <w:rPr>
          <w:rFonts w:ascii="Arial" w:hAnsi="Arial" w:cs="Arial"/>
          <w:color w:val="000000"/>
        </w:rPr>
        <w:t xml:space="preserve">open and coastal </w:t>
      </w:r>
      <w:r w:rsidR="00484A4B" w:rsidRPr="00E43A6F">
        <w:rPr>
          <w:rFonts w:ascii="Arial" w:hAnsi="Arial" w:cs="Arial"/>
          <w:color w:val="000000"/>
        </w:rPr>
        <w:t>oceans will be able to keep up taking</w:t>
      </w:r>
      <w:r w:rsidR="0038442F" w:rsidRPr="00E43A6F">
        <w:rPr>
          <w:rFonts w:ascii="Arial" w:hAnsi="Arial" w:cs="Arial"/>
          <w:color w:val="000000"/>
        </w:rPr>
        <w:t xml:space="preserve"> </w:t>
      </w:r>
      <w:r w:rsidR="00484A4B" w:rsidRPr="00E43A6F">
        <w:rPr>
          <w:rFonts w:ascii="Arial" w:hAnsi="Arial" w:cs="Arial"/>
          <w:color w:val="000000"/>
        </w:rPr>
        <w:t xml:space="preserve">the current rate of anthropogenic CO2 uptake through </w:t>
      </w:r>
      <w:r w:rsidR="0038442F" w:rsidRPr="00E43A6F">
        <w:rPr>
          <w:rFonts w:ascii="Arial" w:hAnsi="Arial" w:cs="Arial"/>
          <w:color w:val="000000"/>
        </w:rPr>
        <w:t xml:space="preserve">to </w:t>
      </w:r>
      <w:r w:rsidR="00484A4B" w:rsidRPr="00E43A6F">
        <w:rPr>
          <w:rFonts w:ascii="Arial" w:hAnsi="Arial" w:cs="Arial"/>
          <w:color w:val="000000"/>
        </w:rPr>
        <w:t xml:space="preserve">how this will affect the pH and biodiversity of the aquatic systems. </w:t>
      </w:r>
      <w:r w:rsidR="0038442F" w:rsidRPr="00E43A6F">
        <w:rPr>
          <w:rFonts w:ascii="Arial" w:hAnsi="Arial" w:cs="Arial"/>
          <w:color w:val="000000"/>
        </w:rPr>
        <w:t>Finally, i</w:t>
      </w:r>
      <w:r w:rsidR="00484A4B" w:rsidRPr="00E43A6F">
        <w:rPr>
          <w:rFonts w:ascii="Arial" w:hAnsi="Arial" w:cs="Arial"/>
          <w:color w:val="000000"/>
        </w:rPr>
        <w:t xml:space="preserve">t will also include aspects related to the understanding of how human’s action on land (deforestation, increasing nutrient input from rivers etc.) affect aquatic carbon. </w:t>
      </w:r>
    </w:p>
    <w:p w14:paraId="267F671F" w14:textId="439D45DC" w:rsidR="00484A4B" w:rsidRPr="00E43A6F" w:rsidRDefault="00484A4B" w:rsidP="00E43A6F">
      <w:pPr>
        <w:pStyle w:val="ListParagraph"/>
        <w:numPr>
          <w:ilvl w:val="0"/>
          <w:numId w:val="19"/>
        </w:numPr>
        <w:jc w:val="both"/>
        <w:rPr>
          <w:rFonts w:ascii="Arial" w:hAnsi="Arial" w:cs="Arial"/>
          <w:color w:val="000000"/>
        </w:rPr>
      </w:pPr>
      <w:r w:rsidRPr="00E43A6F">
        <w:rPr>
          <w:rFonts w:ascii="Arial" w:hAnsi="Arial" w:cs="Arial"/>
          <w:color w:val="000000"/>
        </w:rPr>
        <w:t>clarify the importance, and elevate the profile and complexity of, remote sensing and satellite Earth observation that are already routinely used within carbon assessments</w:t>
      </w:r>
      <w:r w:rsidR="0038442F" w:rsidRPr="00E43A6F">
        <w:rPr>
          <w:rFonts w:ascii="Arial" w:hAnsi="Arial" w:cs="Arial"/>
          <w:color w:val="000000"/>
        </w:rPr>
        <w:t>. It will</w:t>
      </w:r>
      <w:r w:rsidRPr="00E43A6F">
        <w:rPr>
          <w:rFonts w:ascii="Arial" w:hAnsi="Arial" w:cs="Arial"/>
          <w:color w:val="000000"/>
        </w:rPr>
        <w:t xml:space="preserve"> highlight how Earth observation has much more to offer beyond its current use. It will also improve and expand but explain how this can only be achieved if the use is underpinned by expert advice and guidance. </w:t>
      </w:r>
      <w:r w:rsidR="0038442F" w:rsidRPr="00E43A6F">
        <w:rPr>
          <w:rFonts w:ascii="Arial" w:hAnsi="Arial" w:cs="Arial"/>
          <w:color w:val="000000"/>
        </w:rPr>
        <w:t>The roadmap will d</w:t>
      </w:r>
      <w:r w:rsidRPr="00E43A6F">
        <w:rPr>
          <w:rFonts w:ascii="Arial" w:hAnsi="Arial" w:cs="Arial"/>
          <w:color w:val="000000"/>
        </w:rPr>
        <w:t xml:space="preserve">rive the inclusion of inorganic and organic carbon </w:t>
      </w:r>
      <w:r w:rsidR="0038442F" w:rsidRPr="00E43A6F">
        <w:rPr>
          <w:rFonts w:ascii="Arial" w:hAnsi="Arial" w:cs="Arial"/>
          <w:color w:val="000000"/>
        </w:rPr>
        <w:t xml:space="preserve">in the ocean </w:t>
      </w:r>
      <w:r w:rsidRPr="00E43A6F">
        <w:rPr>
          <w:rFonts w:ascii="Arial" w:hAnsi="Arial" w:cs="Arial"/>
          <w:color w:val="000000"/>
        </w:rPr>
        <w:t>within global and regional carbon assessments.</w:t>
      </w:r>
    </w:p>
    <w:p w14:paraId="5F0C73B0" w14:textId="7F6392E0" w:rsidR="006968E6" w:rsidRPr="00E43A6F" w:rsidRDefault="00484A4B" w:rsidP="00E43A6F">
      <w:pPr>
        <w:pStyle w:val="ListParagraph"/>
        <w:numPr>
          <w:ilvl w:val="0"/>
          <w:numId w:val="19"/>
        </w:numPr>
        <w:jc w:val="both"/>
        <w:rPr>
          <w:rFonts w:ascii="Arial" w:hAnsi="Arial" w:cs="Arial"/>
          <w:color w:val="000000"/>
        </w:rPr>
      </w:pPr>
      <w:r w:rsidRPr="00E43A6F">
        <w:rPr>
          <w:rFonts w:ascii="Arial" w:hAnsi="Arial" w:cs="Arial"/>
          <w:color w:val="000000"/>
        </w:rPr>
        <w:t xml:space="preserve">contribute to support the needs and ambition cycle of the Global </w:t>
      </w:r>
      <w:proofErr w:type="spellStart"/>
      <w:r w:rsidRPr="00E43A6F">
        <w:rPr>
          <w:rFonts w:ascii="Arial" w:hAnsi="Arial" w:cs="Arial"/>
          <w:color w:val="000000"/>
        </w:rPr>
        <w:t>Stocktake</w:t>
      </w:r>
      <w:proofErr w:type="spellEnd"/>
      <w:r w:rsidRPr="00E43A6F">
        <w:rPr>
          <w:rFonts w:ascii="Arial" w:hAnsi="Arial" w:cs="Arial"/>
          <w:color w:val="000000"/>
        </w:rPr>
        <w:t xml:space="preserve"> of the Paris Climate Agreement, by further constraining the global carbon budget</w:t>
      </w:r>
      <w:r w:rsidR="001C236B">
        <w:rPr>
          <w:rFonts w:ascii="Arial" w:hAnsi="Arial" w:cs="Arial"/>
          <w:color w:val="000000"/>
        </w:rPr>
        <w:t xml:space="preserve"> </w:t>
      </w:r>
      <w:proofErr w:type="gramStart"/>
      <w:r w:rsidRPr="00E43A6F">
        <w:rPr>
          <w:rFonts w:ascii="Arial" w:hAnsi="Arial" w:cs="Arial"/>
          <w:color w:val="000000"/>
        </w:rPr>
        <w:t>and also</w:t>
      </w:r>
      <w:proofErr w:type="gramEnd"/>
      <w:r w:rsidRPr="00E43A6F">
        <w:rPr>
          <w:rFonts w:ascii="Arial" w:hAnsi="Arial" w:cs="Arial"/>
          <w:color w:val="000000"/>
        </w:rPr>
        <w:t xml:space="preserve"> by supporting countries reporting on their NDC by improving the estimation and monitoring the changes in CO2 fluxes from/to the Oceans at country level (within each country’s exclusive economic zone, EEZ). The roadmap will also </w:t>
      </w:r>
      <w:r w:rsidR="001C236B">
        <w:rPr>
          <w:rFonts w:ascii="Arial" w:hAnsi="Arial" w:cs="Arial"/>
          <w:color w:val="000000"/>
        </w:rPr>
        <w:t>address the needs for</w:t>
      </w:r>
      <w:r w:rsidRPr="00E43A6F">
        <w:rPr>
          <w:rFonts w:ascii="Arial" w:hAnsi="Arial" w:cs="Arial"/>
          <w:color w:val="000000"/>
        </w:rPr>
        <w:t xml:space="preserve"> monitoring the extent and carbon stocks of major Blue Carbon coastal ecosystem extent and carbon stocks around the world.</w:t>
      </w:r>
    </w:p>
    <w:p w14:paraId="7BBF0113" w14:textId="77777777" w:rsidR="006968E6" w:rsidRPr="00D15D06" w:rsidRDefault="006968E6" w:rsidP="006968E6">
      <w:pPr>
        <w:rPr>
          <w:rFonts w:ascii="Arial" w:hAnsi="Arial" w:cs="Arial"/>
          <w:color w:val="000000"/>
          <w:highlight w:val="yellow"/>
        </w:rPr>
      </w:pPr>
    </w:p>
    <w:p w14:paraId="69992372" w14:textId="02A1FE90" w:rsidR="006968E6" w:rsidRPr="00F36179" w:rsidRDefault="00E54EBE" w:rsidP="00E54EBE">
      <w:pPr>
        <w:pStyle w:val="ListParagraph"/>
        <w:numPr>
          <w:ilvl w:val="0"/>
          <w:numId w:val="1"/>
        </w:numPr>
        <w:rPr>
          <w:rFonts w:ascii="Arial" w:hAnsi="Arial" w:cs="Arial"/>
          <w:b/>
          <w:bCs/>
          <w:color w:val="000000"/>
        </w:rPr>
      </w:pPr>
      <w:r w:rsidRPr="00F36179">
        <w:rPr>
          <w:rFonts w:ascii="Arial" w:hAnsi="Arial" w:cs="Arial"/>
          <w:b/>
          <w:bCs/>
          <w:color w:val="000000"/>
        </w:rPr>
        <w:t>T</w:t>
      </w:r>
      <w:r w:rsidR="006968E6" w:rsidRPr="00F36179">
        <w:rPr>
          <w:rFonts w:ascii="Arial" w:hAnsi="Arial" w:cs="Arial"/>
          <w:b/>
          <w:bCs/>
          <w:color w:val="000000"/>
        </w:rPr>
        <w:t>imeline for completion</w:t>
      </w:r>
    </w:p>
    <w:p w14:paraId="68357D57" w14:textId="2B46F6E8" w:rsidR="006968E6" w:rsidRPr="007636AB" w:rsidRDefault="006968E6" w:rsidP="007636AB">
      <w:pPr>
        <w:jc w:val="both"/>
        <w:rPr>
          <w:rFonts w:ascii="Arial" w:hAnsi="Arial" w:cs="Arial"/>
          <w:color w:val="000000"/>
        </w:rPr>
      </w:pPr>
      <w:r>
        <w:rPr>
          <w:rFonts w:ascii="Arial" w:hAnsi="Arial" w:cs="Arial"/>
          <w:color w:val="000000"/>
        </w:rPr>
        <w:t xml:space="preserve">The ever-increasing emission rates, which are not abating or even stalling, highlights the </w:t>
      </w:r>
      <w:r w:rsidR="00484A4B">
        <w:rPr>
          <w:rFonts w:ascii="Arial" w:hAnsi="Arial" w:cs="Arial"/>
          <w:color w:val="000000"/>
        </w:rPr>
        <w:t xml:space="preserve">immediate </w:t>
      </w:r>
      <w:r>
        <w:rPr>
          <w:rFonts w:ascii="Arial" w:hAnsi="Arial" w:cs="Arial"/>
          <w:color w:val="000000"/>
        </w:rPr>
        <w:t xml:space="preserve">need for improved constraints on global carbon assessments to further tighten policy advice which rely upon emissions assessments. Some net-zero and cumulative emission targets focus on horizons of 2030 or 2040 and so this highlights the need for urgent action and progress. </w:t>
      </w:r>
      <w:r w:rsidR="001C236B">
        <w:rPr>
          <w:rFonts w:ascii="Arial" w:hAnsi="Arial" w:cs="Arial"/>
          <w:color w:val="000000"/>
        </w:rPr>
        <w:t>Therefore,</w:t>
      </w:r>
      <w:r>
        <w:rPr>
          <w:rFonts w:ascii="Arial" w:hAnsi="Arial" w:cs="Arial"/>
          <w:color w:val="000000"/>
        </w:rPr>
        <w:t xml:space="preserve"> it is recommended that the roadmap be completed </w:t>
      </w:r>
      <w:r w:rsidRPr="00A64997">
        <w:rPr>
          <w:rFonts w:ascii="Arial" w:hAnsi="Arial" w:cs="Arial"/>
          <w:color w:val="000000"/>
        </w:rPr>
        <w:t xml:space="preserve">within </w:t>
      </w:r>
      <w:r>
        <w:rPr>
          <w:rFonts w:ascii="Arial" w:hAnsi="Arial" w:cs="Arial"/>
          <w:color w:val="000000"/>
        </w:rPr>
        <w:t>2</w:t>
      </w:r>
      <w:r w:rsidRPr="00A64997">
        <w:rPr>
          <w:rFonts w:ascii="Arial" w:hAnsi="Arial" w:cs="Arial"/>
          <w:color w:val="000000"/>
        </w:rPr>
        <w:t xml:space="preserve"> year</w:t>
      </w:r>
      <w:r>
        <w:rPr>
          <w:rFonts w:ascii="Arial" w:hAnsi="Arial" w:cs="Arial"/>
          <w:color w:val="000000"/>
        </w:rPr>
        <w:t>s of starting.</w:t>
      </w:r>
    </w:p>
    <w:p w14:paraId="38CCF3FC" w14:textId="77777777" w:rsidR="006968E6" w:rsidRDefault="006968E6" w:rsidP="006968E6">
      <w:pPr>
        <w:rPr>
          <w:rFonts w:ascii="Arial" w:hAnsi="Arial" w:cs="Arial"/>
          <w:b/>
          <w:bCs/>
          <w:color w:val="000000"/>
        </w:rPr>
      </w:pPr>
    </w:p>
    <w:p w14:paraId="6154F884" w14:textId="77777777" w:rsidR="00D75D96" w:rsidRPr="00D15D06" w:rsidRDefault="00D75D96" w:rsidP="006968E6">
      <w:pPr>
        <w:rPr>
          <w:rFonts w:ascii="Arial" w:hAnsi="Arial" w:cs="Arial"/>
          <w:b/>
          <w:bCs/>
          <w:color w:val="000000"/>
        </w:rPr>
      </w:pPr>
    </w:p>
    <w:p w14:paraId="13EA4B84" w14:textId="77777777" w:rsidR="007636AB" w:rsidRDefault="007636AB" w:rsidP="007636AB">
      <w:pPr>
        <w:pStyle w:val="ListParagraph"/>
        <w:ind w:left="360"/>
        <w:rPr>
          <w:rFonts w:ascii="Arial" w:hAnsi="Arial" w:cs="Arial"/>
          <w:b/>
          <w:bCs/>
          <w:color w:val="000000"/>
        </w:rPr>
      </w:pPr>
    </w:p>
    <w:p w14:paraId="29B8E37D" w14:textId="58ECEA6D" w:rsidR="006968E6" w:rsidRPr="00F36179" w:rsidRDefault="00E54EBE" w:rsidP="00E54EBE">
      <w:pPr>
        <w:pStyle w:val="ListParagraph"/>
        <w:numPr>
          <w:ilvl w:val="0"/>
          <w:numId w:val="1"/>
        </w:numPr>
        <w:rPr>
          <w:rFonts w:ascii="Arial" w:hAnsi="Arial" w:cs="Arial"/>
          <w:b/>
          <w:bCs/>
          <w:color w:val="000000"/>
        </w:rPr>
      </w:pPr>
      <w:r w:rsidRPr="00F36179">
        <w:rPr>
          <w:rFonts w:ascii="Arial" w:hAnsi="Arial" w:cs="Arial"/>
          <w:b/>
          <w:bCs/>
          <w:color w:val="000000"/>
        </w:rPr>
        <w:lastRenderedPageBreak/>
        <w:t xml:space="preserve">Resources </w:t>
      </w:r>
      <w:r w:rsidR="007636AB">
        <w:rPr>
          <w:rFonts w:ascii="Arial" w:hAnsi="Arial" w:cs="Arial"/>
          <w:b/>
          <w:bCs/>
          <w:color w:val="000000"/>
        </w:rPr>
        <w:t>for completion</w:t>
      </w:r>
    </w:p>
    <w:p w14:paraId="22F32D92" w14:textId="73A9C68B" w:rsidR="00417D59" w:rsidRDefault="00417D59" w:rsidP="00417D59">
      <w:pPr>
        <w:jc w:val="both"/>
        <w:rPr>
          <w:rFonts w:ascii="Arial" w:hAnsi="Arial" w:cs="Arial"/>
          <w:color w:val="000000"/>
        </w:rPr>
      </w:pPr>
      <w:r w:rsidRPr="00417D59">
        <w:rPr>
          <w:rFonts w:ascii="Arial" w:hAnsi="Arial" w:cs="Arial"/>
          <w:color w:val="000000"/>
        </w:rPr>
        <w:t>The development of the Aquat</w:t>
      </w:r>
      <w:r>
        <w:rPr>
          <w:rFonts w:ascii="Arial" w:hAnsi="Arial" w:cs="Arial"/>
          <w:color w:val="000000"/>
        </w:rPr>
        <w:t>ic</w:t>
      </w:r>
      <w:r w:rsidRPr="00417D59">
        <w:rPr>
          <w:rFonts w:ascii="Arial" w:hAnsi="Arial" w:cs="Arial"/>
          <w:color w:val="000000"/>
        </w:rPr>
        <w:t xml:space="preserve"> Carbon Roadmap </w:t>
      </w:r>
      <w:r>
        <w:rPr>
          <w:rFonts w:ascii="Arial" w:hAnsi="Arial" w:cs="Arial"/>
          <w:color w:val="000000"/>
        </w:rPr>
        <w:t xml:space="preserve">is a </w:t>
      </w:r>
      <w:r w:rsidR="00484A4B">
        <w:rPr>
          <w:rFonts w:ascii="Arial" w:hAnsi="Arial" w:cs="Arial"/>
          <w:color w:val="000000"/>
        </w:rPr>
        <w:t xml:space="preserve">complex </w:t>
      </w:r>
      <w:r>
        <w:rPr>
          <w:rFonts w:ascii="Arial" w:hAnsi="Arial" w:cs="Arial"/>
          <w:color w:val="000000"/>
        </w:rPr>
        <w:t xml:space="preserve">task, which will need the commitment, </w:t>
      </w:r>
      <w:proofErr w:type="gramStart"/>
      <w:r w:rsidR="00EE6605" w:rsidRPr="00EE6605">
        <w:rPr>
          <w:rFonts w:ascii="Arial" w:hAnsi="Arial" w:cs="Arial"/>
          <w:color w:val="000000"/>
        </w:rPr>
        <w:t>contribution</w:t>
      </w:r>
      <w:proofErr w:type="gramEnd"/>
      <w:r w:rsidR="00EE6605" w:rsidRPr="00EE6605">
        <w:rPr>
          <w:rFonts w:ascii="Arial" w:hAnsi="Arial" w:cs="Arial"/>
          <w:color w:val="000000"/>
        </w:rPr>
        <w:t xml:space="preserve"> and coordination </w:t>
      </w:r>
      <w:r>
        <w:rPr>
          <w:rFonts w:ascii="Arial" w:hAnsi="Arial" w:cs="Arial"/>
          <w:color w:val="000000"/>
        </w:rPr>
        <w:t xml:space="preserve">of many. </w:t>
      </w:r>
    </w:p>
    <w:p w14:paraId="2D11D317" w14:textId="5332AD0B" w:rsidR="00EE6605" w:rsidRDefault="007636AB" w:rsidP="00417D59">
      <w:pPr>
        <w:jc w:val="both"/>
        <w:rPr>
          <w:rFonts w:ascii="Arial" w:hAnsi="Arial" w:cs="Arial"/>
          <w:color w:val="000000"/>
        </w:rPr>
      </w:pPr>
      <w:r>
        <w:rPr>
          <w:rFonts w:ascii="Arial" w:hAnsi="Arial" w:cs="Arial"/>
          <w:color w:val="000000"/>
        </w:rPr>
        <w:t>In particular, r</w:t>
      </w:r>
      <w:r w:rsidR="00417D59">
        <w:rPr>
          <w:rFonts w:ascii="Arial" w:hAnsi="Arial" w:cs="Arial"/>
          <w:color w:val="000000"/>
        </w:rPr>
        <w:t xml:space="preserve">esources </w:t>
      </w:r>
      <w:r w:rsidR="00EE6605" w:rsidRPr="00EE6605">
        <w:rPr>
          <w:rFonts w:ascii="Arial" w:hAnsi="Arial" w:cs="Arial"/>
          <w:color w:val="000000"/>
        </w:rPr>
        <w:t>from IOCCG/CEOS OCR-VC agencies will be essential. Most of these agencies have carbon related activities on which the roadmap will build</w:t>
      </w:r>
      <w:r w:rsidR="00EE6605">
        <w:rPr>
          <w:rFonts w:ascii="Arial" w:hAnsi="Arial" w:cs="Arial"/>
          <w:color w:val="000000"/>
        </w:rPr>
        <w:t xml:space="preserve">. </w:t>
      </w:r>
    </w:p>
    <w:p w14:paraId="3447AD09" w14:textId="5A256439" w:rsidR="00EE6605" w:rsidRDefault="00EE6605" w:rsidP="006968E6">
      <w:pPr>
        <w:rPr>
          <w:rFonts w:ascii="Arial" w:hAnsi="Arial" w:cs="Arial"/>
          <w:color w:val="000000"/>
        </w:rPr>
      </w:pPr>
      <w:r>
        <w:rPr>
          <w:rFonts w:ascii="Arial" w:hAnsi="Arial" w:cs="Arial"/>
          <w:color w:val="000000"/>
        </w:rPr>
        <w:t>ESA is currently launching three aquatic carbon projects that will run over the next t</w:t>
      </w:r>
      <w:r w:rsidR="005B3E99">
        <w:rPr>
          <w:rFonts w:ascii="Arial" w:hAnsi="Arial" w:cs="Arial"/>
          <w:color w:val="000000"/>
        </w:rPr>
        <w:t>wo</w:t>
      </w:r>
      <w:r>
        <w:rPr>
          <w:rFonts w:ascii="Arial" w:hAnsi="Arial" w:cs="Arial"/>
          <w:color w:val="000000"/>
        </w:rPr>
        <w:t xml:space="preserve"> years:</w:t>
      </w:r>
    </w:p>
    <w:p w14:paraId="7D34942F" w14:textId="7780E9E7" w:rsidR="00EE6605" w:rsidRDefault="00EE6605" w:rsidP="00D75D96">
      <w:pPr>
        <w:pStyle w:val="ListParagraph"/>
        <w:numPr>
          <w:ilvl w:val="0"/>
          <w:numId w:val="19"/>
        </w:numPr>
        <w:jc w:val="both"/>
        <w:rPr>
          <w:rFonts w:ascii="Arial" w:hAnsi="Arial" w:cs="Arial"/>
          <w:color w:val="000000"/>
        </w:rPr>
      </w:pPr>
      <w:r w:rsidRPr="00EE6605">
        <w:rPr>
          <w:rFonts w:ascii="Arial" w:hAnsi="Arial" w:cs="Arial"/>
          <w:color w:val="000000"/>
        </w:rPr>
        <w:t xml:space="preserve">One project dedicated to the development of Satellite-based observations of Carbon in the Ocean: Pools, </w:t>
      </w:r>
      <w:proofErr w:type="gramStart"/>
      <w:r w:rsidRPr="00EE6605">
        <w:rPr>
          <w:rFonts w:ascii="Arial" w:hAnsi="Arial" w:cs="Arial"/>
          <w:color w:val="000000"/>
        </w:rPr>
        <w:t>fluxes</w:t>
      </w:r>
      <w:proofErr w:type="gramEnd"/>
      <w:r w:rsidRPr="00EE6605">
        <w:rPr>
          <w:rFonts w:ascii="Arial" w:hAnsi="Arial" w:cs="Arial"/>
          <w:color w:val="000000"/>
        </w:rPr>
        <w:t xml:space="preserve"> and Exchanges</w:t>
      </w:r>
      <w:r>
        <w:rPr>
          <w:rFonts w:ascii="Arial" w:hAnsi="Arial" w:cs="Arial"/>
          <w:color w:val="000000"/>
        </w:rPr>
        <w:t xml:space="preserve"> (SCOPE)</w:t>
      </w:r>
    </w:p>
    <w:p w14:paraId="51AF121F" w14:textId="6D187ACC" w:rsidR="00EE6605" w:rsidRDefault="00EE6605" w:rsidP="00D75D96">
      <w:pPr>
        <w:pStyle w:val="ListParagraph"/>
        <w:numPr>
          <w:ilvl w:val="0"/>
          <w:numId w:val="19"/>
        </w:numPr>
        <w:jc w:val="both"/>
        <w:rPr>
          <w:rFonts w:ascii="Arial" w:hAnsi="Arial" w:cs="Arial"/>
          <w:color w:val="000000"/>
        </w:rPr>
      </w:pPr>
      <w:r w:rsidRPr="00EE6605">
        <w:rPr>
          <w:rFonts w:ascii="Arial" w:hAnsi="Arial" w:cs="Arial"/>
          <w:color w:val="000000"/>
        </w:rPr>
        <w:t>One project dedicate</w:t>
      </w:r>
      <w:r w:rsidR="00A160B1">
        <w:rPr>
          <w:rFonts w:ascii="Arial" w:hAnsi="Arial" w:cs="Arial"/>
          <w:color w:val="000000"/>
        </w:rPr>
        <w:t>d</w:t>
      </w:r>
      <w:r w:rsidRPr="00EE6605">
        <w:rPr>
          <w:rFonts w:ascii="Arial" w:hAnsi="Arial" w:cs="Arial"/>
          <w:color w:val="000000"/>
        </w:rPr>
        <w:t xml:space="preserve"> to </w:t>
      </w:r>
      <w:r w:rsidR="00E43A6F" w:rsidRPr="00EE6605">
        <w:rPr>
          <w:rFonts w:ascii="Arial" w:hAnsi="Arial" w:cs="Arial"/>
          <w:color w:val="000000"/>
        </w:rPr>
        <w:t>strengthening</w:t>
      </w:r>
      <w:r w:rsidRPr="00EE6605">
        <w:rPr>
          <w:rFonts w:ascii="Arial" w:hAnsi="Arial" w:cs="Arial"/>
          <w:color w:val="000000"/>
        </w:rPr>
        <w:t xml:space="preserve"> the understanding and the value of EO Ocean Carbon within the climate context of the IPCC by introducing steps towards Ocean Carbon related ECVs and climate data records, establishing time series of ocean carbon fluxes, and monitor signs of change, regionally and temporally</w:t>
      </w:r>
      <w:r>
        <w:rPr>
          <w:rFonts w:ascii="Arial" w:hAnsi="Arial" w:cs="Arial"/>
          <w:color w:val="000000"/>
        </w:rPr>
        <w:t xml:space="preserve"> (Ocean Carbon </w:t>
      </w:r>
      <w:proofErr w:type="gramStart"/>
      <w:r>
        <w:rPr>
          <w:rFonts w:ascii="Arial" w:hAnsi="Arial" w:cs="Arial"/>
          <w:color w:val="000000"/>
        </w:rPr>
        <w:t>For</w:t>
      </w:r>
      <w:proofErr w:type="gramEnd"/>
      <w:r>
        <w:rPr>
          <w:rFonts w:ascii="Arial" w:hAnsi="Arial" w:cs="Arial"/>
          <w:color w:val="000000"/>
        </w:rPr>
        <w:t xml:space="preserve"> Climate)</w:t>
      </w:r>
    </w:p>
    <w:p w14:paraId="46CE92FB" w14:textId="113020DC" w:rsidR="00EE6605" w:rsidRDefault="00EE6605" w:rsidP="00D75D96">
      <w:pPr>
        <w:pStyle w:val="ListParagraph"/>
        <w:numPr>
          <w:ilvl w:val="0"/>
          <w:numId w:val="19"/>
        </w:numPr>
        <w:jc w:val="both"/>
        <w:rPr>
          <w:rFonts w:ascii="Arial" w:hAnsi="Arial" w:cs="Arial"/>
          <w:color w:val="000000"/>
        </w:rPr>
      </w:pPr>
      <w:r>
        <w:rPr>
          <w:rFonts w:ascii="Arial" w:hAnsi="Arial" w:cs="Arial"/>
          <w:color w:val="000000"/>
        </w:rPr>
        <w:t>One project dedicated to the development of satellite-based observations of Coastal Blue Carbon stock assessment</w:t>
      </w:r>
      <w:r w:rsidR="00B263F1">
        <w:rPr>
          <w:rFonts w:ascii="Arial" w:hAnsi="Arial" w:cs="Arial"/>
          <w:color w:val="000000"/>
        </w:rPr>
        <w:t>.</w:t>
      </w:r>
    </w:p>
    <w:p w14:paraId="7ABB3DE6" w14:textId="77777777" w:rsidR="00B263F1" w:rsidRDefault="00B263F1" w:rsidP="00B263F1">
      <w:pPr>
        <w:rPr>
          <w:rFonts w:ascii="Arial" w:hAnsi="Arial" w:cs="Arial"/>
          <w:color w:val="000000"/>
        </w:rPr>
      </w:pPr>
    </w:p>
    <w:p w14:paraId="5783DB2E" w14:textId="77777777" w:rsidR="00E43A6F" w:rsidRDefault="00484A4B" w:rsidP="00D75D96">
      <w:pPr>
        <w:jc w:val="both"/>
        <w:rPr>
          <w:rFonts w:ascii="Arial" w:hAnsi="Arial" w:cs="Arial"/>
          <w:color w:val="000000"/>
        </w:rPr>
      </w:pPr>
      <w:r w:rsidRPr="00484A4B">
        <w:rPr>
          <w:rFonts w:ascii="Arial" w:hAnsi="Arial" w:cs="Arial"/>
          <w:color w:val="000000"/>
        </w:rPr>
        <w:t xml:space="preserve">NASA has provided continued support for </w:t>
      </w:r>
      <w:proofErr w:type="gramStart"/>
      <w:r w:rsidRPr="00484A4B">
        <w:rPr>
          <w:rFonts w:ascii="Arial" w:hAnsi="Arial" w:cs="Arial"/>
          <w:color w:val="000000"/>
        </w:rPr>
        <w:t>a number of</w:t>
      </w:r>
      <w:proofErr w:type="gramEnd"/>
      <w:r w:rsidRPr="00484A4B">
        <w:rPr>
          <w:rFonts w:ascii="Arial" w:hAnsi="Arial" w:cs="Arial"/>
          <w:color w:val="000000"/>
        </w:rPr>
        <w:t xml:space="preserve"> activities under the Ocean Biology and Biogeochemistry program, the Carbon Monitoring Program, and the Carbon Cycle Science program. Relevant current and planned activities by NASA include:</w:t>
      </w:r>
    </w:p>
    <w:p w14:paraId="4749694B" w14:textId="0A1A4C73" w:rsidR="00E43A6F" w:rsidRPr="00E43A6F" w:rsidRDefault="00484A4B" w:rsidP="0017068A">
      <w:pPr>
        <w:pStyle w:val="ListParagraph"/>
        <w:numPr>
          <w:ilvl w:val="0"/>
          <w:numId w:val="19"/>
        </w:numPr>
        <w:jc w:val="both"/>
        <w:rPr>
          <w:rFonts w:ascii="Arial" w:hAnsi="Arial" w:cs="Arial"/>
          <w:color w:val="000000"/>
        </w:rPr>
      </w:pPr>
      <w:r w:rsidRPr="00E43A6F">
        <w:rPr>
          <w:rFonts w:ascii="Arial" w:hAnsi="Arial" w:cs="Arial"/>
          <w:color w:val="000000"/>
        </w:rPr>
        <w:t xml:space="preserve">Scientific research, to be competitively solicited in 2024, that will refine our predictive understanding of the Ocean Biological Pump; this type of research builds on investments by NASA such as the </w:t>
      </w:r>
      <w:proofErr w:type="spellStart"/>
      <w:r w:rsidRPr="00E43A6F">
        <w:rPr>
          <w:rFonts w:ascii="Arial" w:hAnsi="Arial" w:cs="Arial"/>
          <w:color w:val="000000"/>
        </w:rPr>
        <w:t>EXport</w:t>
      </w:r>
      <w:proofErr w:type="spellEnd"/>
      <w:r w:rsidRPr="00E43A6F">
        <w:rPr>
          <w:rFonts w:ascii="Arial" w:hAnsi="Arial" w:cs="Arial"/>
          <w:color w:val="000000"/>
        </w:rPr>
        <w:t xml:space="preserve"> Processes in the Ocean from Remote Sensing (EXPORTS) and focuses on reducing uncertainties in contemporary and future assessments of primary production on regional to global scales. Such activities are anticipated to be executed over the next three years.</w:t>
      </w:r>
    </w:p>
    <w:p w14:paraId="27106AA9" w14:textId="726BB735" w:rsidR="00E43A6F" w:rsidRPr="00E43A6F" w:rsidRDefault="00484A4B" w:rsidP="0017068A">
      <w:pPr>
        <w:pStyle w:val="ListParagraph"/>
        <w:numPr>
          <w:ilvl w:val="0"/>
          <w:numId w:val="19"/>
        </w:numPr>
        <w:jc w:val="both"/>
        <w:rPr>
          <w:rFonts w:ascii="Arial" w:hAnsi="Arial" w:cs="Arial"/>
          <w:color w:val="000000"/>
        </w:rPr>
      </w:pPr>
      <w:r w:rsidRPr="00E43A6F">
        <w:rPr>
          <w:rFonts w:ascii="Arial" w:hAnsi="Arial" w:cs="Arial"/>
          <w:color w:val="000000"/>
        </w:rPr>
        <w:t xml:space="preserve">Continued support of forward-looking initiatives designed to characterize, quantify, understand, and predict the evolution of global aquatic carbon sources, sinks, and fluxes, with particular emphasis on terrestrial-ocean carbon fluxes for accounting purposes, refinement and uncertainty reduction of blue carbon ecosystem stocks and fluxes, and research that bridges knowledge gaps related to risks and benefits of Nature Based Solutions and ocean-based Carbon Dioxide Removal approaches. These initiatives are ongoing and plan to be continued beyond the duration of the </w:t>
      </w:r>
      <w:r w:rsidR="00D75D96" w:rsidRPr="00E43A6F">
        <w:rPr>
          <w:rFonts w:ascii="Arial" w:hAnsi="Arial" w:cs="Arial"/>
          <w:color w:val="000000"/>
        </w:rPr>
        <w:t>roadmap</w:t>
      </w:r>
      <w:r w:rsidRPr="00E43A6F">
        <w:rPr>
          <w:rFonts w:ascii="Arial" w:hAnsi="Arial" w:cs="Arial"/>
          <w:color w:val="000000"/>
        </w:rPr>
        <w:t>.</w:t>
      </w:r>
    </w:p>
    <w:p w14:paraId="1F522940" w14:textId="3CAF8CB7" w:rsidR="00D75D96" w:rsidRPr="00D75D96" w:rsidRDefault="00484A4B" w:rsidP="00D75D96">
      <w:pPr>
        <w:pStyle w:val="ListParagraph"/>
        <w:numPr>
          <w:ilvl w:val="0"/>
          <w:numId w:val="19"/>
        </w:numPr>
        <w:jc w:val="both"/>
        <w:rPr>
          <w:rFonts w:ascii="Arial" w:hAnsi="Arial" w:cs="Arial"/>
          <w:color w:val="000000"/>
        </w:rPr>
      </w:pPr>
      <w:r w:rsidRPr="00E43A6F">
        <w:rPr>
          <w:rFonts w:ascii="Arial" w:hAnsi="Arial" w:cs="Arial"/>
          <w:color w:val="000000"/>
        </w:rPr>
        <w:t xml:space="preserve">Investments to improve and expand the use of Earth Observing data for aquatic carbon and biogeochemical model refinement, especially related to biological carbon cycling and export. Development of relevant blue carbon products responsive to various stakeholders which support research and conservation of these habitats. These activities are ongoing and plan to be continued over the next three years through competitive research solicited in 2024. </w:t>
      </w:r>
    </w:p>
    <w:p w14:paraId="3745C0E2" w14:textId="412EC0E5" w:rsidR="00D75D96" w:rsidRPr="00D75D96" w:rsidRDefault="00D75D96" w:rsidP="00D75D96">
      <w:pPr>
        <w:jc w:val="both"/>
        <w:rPr>
          <w:rFonts w:ascii="Arial" w:hAnsi="Arial" w:cs="Arial"/>
          <w:color w:val="000000"/>
        </w:rPr>
      </w:pPr>
      <w:r>
        <w:rPr>
          <w:rFonts w:ascii="Arial" w:hAnsi="Arial" w:cs="Arial"/>
          <w:color w:val="000000"/>
        </w:rPr>
        <w:t>Consequently</w:t>
      </w:r>
      <w:r w:rsidRPr="00D75D96">
        <w:rPr>
          <w:rFonts w:ascii="Arial" w:hAnsi="Arial" w:cs="Arial"/>
          <w:color w:val="000000"/>
        </w:rPr>
        <w:t xml:space="preserve">, </w:t>
      </w:r>
      <w:r>
        <w:rPr>
          <w:rFonts w:ascii="Arial" w:hAnsi="Arial" w:cs="Arial"/>
          <w:color w:val="000000"/>
        </w:rPr>
        <w:t xml:space="preserve">significant </w:t>
      </w:r>
      <w:r w:rsidRPr="00D75D96">
        <w:rPr>
          <w:rFonts w:ascii="Arial" w:hAnsi="Arial" w:cs="Arial"/>
          <w:color w:val="000000"/>
        </w:rPr>
        <w:t>contribution</w:t>
      </w:r>
      <w:r>
        <w:rPr>
          <w:rFonts w:ascii="Arial" w:hAnsi="Arial" w:cs="Arial"/>
          <w:color w:val="000000"/>
        </w:rPr>
        <w:t xml:space="preserve"> to the Aquatic Carbon Roadmap is</w:t>
      </w:r>
      <w:r w:rsidRPr="00D75D96">
        <w:rPr>
          <w:rFonts w:ascii="Arial" w:hAnsi="Arial" w:cs="Arial"/>
          <w:color w:val="000000"/>
        </w:rPr>
        <w:t xml:space="preserve"> expected from the scientific community through the different activities being supported by the</w:t>
      </w:r>
      <w:r>
        <w:rPr>
          <w:rFonts w:ascii="Arial" w:hAnsi="Arial" w:cs="Arial"/>
          <w:color w:val="000000"/>
        </w:rPr>
        <w:t xml:space="preserve"> CEOS</w:t>
      </w:r>
      <w:r w:rsidRPr="00D75D96">
        <w:rPr>
          <w:rFonts w:ascii="Arial" w:hAnsi="Arial" w:cs="Arial"/>
          <w:color w:val="000000"/>
        </w:rPr>
        <w:t xml:space="preserve"> member agencies. </w:t>
      </w:r>
    </w:p>
    <w:p w14:paraId="00C75C47" w14:textId="77777777" w:rsidR="0017068A" w:rsidRPr="0017068A" w:rsidRDefault="0017068A" w:rsidP="0017068A">
      <w:pPr>
        <w:jc w:val="both"/>
        <w:rPr>
          <w:rFonts w:ascii="Arial" w:hAnsi="Arial" w:cs="Arial"/>
          <w:color w:val="000000"/>
        </w:rPr>
      </w:pPr>
    </w:p>
    <w:p w14:paraId="2CA2E5BE" w14:textId="5D1274D1" w:rsidR="00B263F1" w:rsidRPr="00B263F1" w:rsidRDefault="00484A4B" w:rsidP="00D75D96">
      <w:pPr>
        <w:jc w:val="both"/>
        <w:rPr>
          <w:rFonts w:ascii="Arial" w:hAnsi="Arial" w:cs="Arial"/>
          <w:color w:val="000000"/>
        </w:rPr>
      </w:pPr>
      <w:r>
        <w:rPr>
          <w:rFonts w:ascii="Arial" w:hAnsi="Arial" w:cs="Arial"/>
          <w:color w:val="000000"/>
        </w:rPr>
        <w:lastRenderedPageBreak/>
        <w:t>In addition</w:t>
      </w:r>
      <w:r w:rsidR="00B263F1">
        <w:rPr>
          <w:rFonts w:ascii="Arial" w:hAnsi="Arial" w:cs="Arial"/>
          <w:color w:val="000000"/>
        </w:rPr>
        <w:t>, ESA and NASA are jointly organizing a Coastal Blue Carbon From Space Forum (</w:t>
      </w:r>
      <w:hyperlink r:id="rId10" w:history="1">
        <w:r w:rsidR="005B3E99" w:rsidRPr="001F11E1">
          <w:rPr>
            <w:rStyle w:val="Hyperlink"/>
            <w:rFonts w:ascii="Arial" w:hAnsi="Arial" w:cs="Arial"/>
          </w:rPr>
          <w:t>https://eo4society.esa.int/event/blue-carbon-from-space-forum/</w:t>
        </w:r>
      </w:hyperlink>
      <w:r w:rsidR="00B263F1">
        <w:rPr>
          <w:rFonts w:ascii="Arial" w:hAnsi="Arial" w:cs="Arial"/>
          <w:color w:val="000000"/>
        </w:rPr>
        <w:t xml:space="preserve">) on 14-17 May </w:t>
      </w:r>
      <w:r w:rsidR="00A160B1">
        <w:rPr>
          <w:rFonts w:ascii="Arial" w:hAnsi="Arial" w:cs="Arial"/>
          <w:color w:val="000000"/>
        </w:rPr>
        <w:t xml:space="preserve">2024  </w:t>
      </w:r>
      <w:r w:rsidR="00B263F1">
        <w:rPr>
          <w:rFonts w:ascii="Arial" w:hAnsi="Arial" w:cs="Arial"/>
          <w:color w:val="000000"/>
        </w:rPr>
        <w:t>at the International Space Science Institute (Bern,</w:t>
      </w:r>
      <w:r w:rsidR="00D75D96">
        <w:rPr>
          <w:rFonts w:ascii="Arial" w:hAnsi="Arial" w:cs="Arial"/>
          <w:color w:val="000000"/>
        </w:rPr>
        <w:t xml:space="preserve"> </w:t>
      </w:r>
      <w:r w:rsidR="00B263F1">
        <w:rPr>
          <w:rFonts w:ascii="Arial" w:hAnsi="Arial" w:cs="Arial"/>
          <w:color w:val="000000"/>
        </w:rPr>
        <w:t>Switzerland). Outcome of this forum will directly contribute to the writing of the Aquatic Carbon Roadmap.</w:t>
      </w:r>
    </w:p>
    <w:p w14:paraId="74F974B7" w14:textId="4020188B" w:rsidR="00484A4B" w:rsidRDefault="00484A4B" w:rsidP="00417D59">
      <w:pPr>
        <w:jc w:val="both"/>
        <w:rPr>
          <w:rFonts w:ascii="Arial" w:hAnsi="Arial" w:cs="Arial"/>
          <w:color w:val="000000"/>
        </w:rPr>
      </w:pPr>
      <w:r>
        <w:rPr>
          <w:rFonts w:ascii="Arial" w:hAnsi="Arial" w:cs="Arial"/>
          <w:color w:val="000000"/>
        </w:rPr>
        <w:t xml:space="preserve">Relevant activities are also ongoing within the International Ocean </w:t>
      </w:r>
      <w:proofErr w:type="spellStart"/>
      <w:r>
        <w:rPr>
          <w:rFonts w:ascii="Arial" w:hAnsi="Arial" w:cs="Arial"/>
          <w:color w:val="000000"/>
        </w:rPr>
        <w:t>Colour</w:t>
      </w:r>
      <w:proofErr w:type="spellEnd"/>
      <w:r>
        <w:rPr>
          <w:rFonts w:ascii="Arial" w:hAnsi="Arial" w:cs="Arial"/>
          <w:color w:val="000000"/>
        </w:rPr>
        <w:t xml:space="preserve"> Coordination Group:</w:t>
      </w:r>
      <w:r w:rsidRPr="00EE6605">
        <w:rPr>
          <w:rFonts w:ascii="Arial" w:hAnsi="Arial" w:cs="Arial"/>
          <w:color w:val="000000"/>
        </w:rPr>
        <w:t xml:space="preserve"> an IOCCG Aquatic Carbon from Space Task Force is being initiated (led by Jamie Shutler, University of Exeter, UK and Cecile Rousseaux, NASA GSFC, US) </w:t>
      </w:r>
      <w:r w:rsidR="00D75D96" w:rsidRPr="00EE6605">
        <w:rPr>
          <w:rFonts w:ascii="Arial" w:hAnsi="Arial" w:cs="Arial"/>
          <w:color w:val="000000"/>
        </w:rPr>
        <w:t>and</w:t>
      </w:r>
      <w:r w:rsidRPr="00EE6605">
        <w:rPr>
          <w:rFonts w:ascii="Arial" w:hAnsi="Arial" w:cs="Arial"/>
          <w:color w:val="000000"/>
        </w:rPr>
        <w:t xml:space="preserve"> a Working Group on Primary Production (chaired by Robert Brewin, University of Exeter, UK)</w:t>
      </w:r>
      <w:r>
        <w:rPr>
          <w:rFonts w:ascii="Arial" w:hAnsi="Arial" w:cs="Arial"/>
          <w:color w:val="000000"/>
        </w:rPr>
        <w:t>. Both activities will be running in parallel to the roadmap development and will strongly contribute to it</w:t>
      </w:r>
      <w:r w:rsidRPr="00EE6605">
        <w:rPr>
          <w:rFonts w:ascii="Arial" w:hAnsi="Arial" w:cs="Arial"/>
          <w:color w:val="000000"/>
        </w:rPr>
        <w:t>.</w:t>
      </w:r>
    </w:p>
    <w:p w14:paraId="535F2FB2" w14:textId="210441F5" w:rsidR="00091C20" w:rsidRDefault="00091C20" w:rsidP="00091C20">
      <w:pPr>
        <w:rPr>
          <w:rFonts w:ascii="Arial" w:hAnsi="Arial" w:cs="Arial"/>
          <w:color w:val="000000"/>
        </w:rPr>
      </w:pPr>
      <w:r>
        <w:rPr>
          <w:rFonts w:ascii="Arial" w:hAnsi="Arial" w:cs="Arial"/>
          <w:color w:val="000000"/>
        </w:rPr>
        <w:t>Other contribution might come from other OCR-VC agencies (</w:t>
      </w:r>
      <w:proofErr w:type="gramStart"/>
      <w:r>
        <w:rPr>
          <w:rFonts w:ascii="Arial" w:hAnsi="Arial" w:cs="Arial"/>
          <w:color w:val="000000"/>
        </w:rPr>
        <w:t>e.g.</w:t>
      </w:r>
      <w:proofErr w:type="gramEnd"/>
      <w:r>
        <w:rPr>
          <w:rFonts w:ascii="Arial" w:hAnsi="Arial" w:cs="Arial"/>
          <w:color w:val="000000"/>
        </w:rPr>
        <w:t xml:space="preserve"> NOAA) and other CEOS VC and WG (e.g. </w:t>
      </w:r>
      <w:r w:rsidRPr="002314C6">
        <w:rPr>
          <w:rFonts w:ascii="Arial" w:hAnsi="Arial" w:cs="Arial"/>
          <w:color w:val="000000"/>
        </w:rPr>
        <w:t xml:space="preserve">SST-VC, OST-VC, OSVW-VC, COAST, and </w:t>
      </w:r>
      <w:proofErr w:type="spellStart"/>
      <w:r w:rsidRPr="002314C6">
        <w:rPr>
          <w:rFonts w:ascii="Arial" w:hAnsi="Arial" w:cs="Arial"/>
          <w:color w:val="000000"/>
        </w:rPr>
        <w:t>WGClimate</w:t>
      </w:r>
      <w:proofErr w:type="spellEnd"/>
      <w:r>
        <w:rPr>
          <w:rFonts w:ascii="Arial" w:hAnsi="Arial" w:cs="Arial"/>
          <w:color w:val="000000"/>
        </w:rPr>
        <w:t>)</w:t>
      </w:r>
      <w:r w:rsidR="00D75D96">
        <w:rPr>
          <w:rFonts w:ascii="Arial" w:hAnsi="Arial" w:cs="Arial"/>
          <w:color w:val="000000"/>
        </w:rPr>
        <w:t>.</w:t>
      </w:r>
    </w:p>
    <w:p w14:paraId="05B5B2FC" w14:textId="580B5490" w:rsidR="00091C20" w:rsidRPr="00D15D06" w:rsidRDefault="00D75D96" w:rsidP="00091C20">
      <w:pPr>
        <w:rPr>
          <w:rFonts w:ascii="Arial" w:hAnsi="Arial" w:cs="Arial"/>
          <w:color w:val="000000"/>
        </w:rPr>
      </w:pPr>
      <w:r>
        <w:rPr>
          <w:rFonts w:ascii="Arial" w:hAnsi="Arial" w:cs="Arial"/>
          <w:color w:val="000000"/>
        </w:rPr>
        <w:t xml:space="preserve">Finally, </w:t>
      </w:r>
      <w:r w:rsidR="00484A4B">
        <w:rPr>
          <w:rFonts w:ascii="Arial" w:hAnsi="Arial" w:cs="Arial"/>
          <w:color w:val="000000"/>
        </w:rPr>
        <w:t>C</w:t>
      </w:r>
      <w:r w:rsidR="00091C20" w:rsidRPr="0036050F">
        <w:rPr>
          <w:rFonts w:ascii="Arial" w:hAnsi="Arial" w:cs="Arial"/>
          <w:color w:val="000000"/>
        </w:rPr>
        <w:t xml:space="preserve">opernicus </w:t>
      </w:r>
      <w:r w:rsidR="00091C20">
        <w:rPr>
          <w:rFonts w:ascii="Arial" w:hAnsi="Arial" w:cs="Arial"/>
          <w:color w:val="000000"/>
        </w:rPr>
        <w:t xml:space="preserve">has </w:t>
      </w:r>
      <w:r w:rsidR="00091C20" w:rsidRPr="0036050F">
        <w:rPr>
          <w:rFonts w:ascii="Arial" w:hAnsi="Arial" w:cs="Arial"/>
          <w:color w:val="000000"/>
        </w:rPr>
        <w:t>also launched different carbon related project</w:t>
      </w:r>
      <w:r w:rsidR="00091C20">
        <w:rPr>
          <w:rFonts w:ascii="Arial" w:hAnsi="Arial" w:cs="Arial"/>
          <w:color w:val="000000"/>
        </w:rPr>
        <w:t>s</w:t>
      </w:r>
      <w:r w:rsidR="00091C20" w:rsidRPr="0036050F">
        <w:rPr>
          <w:rFonts w:ascii="Arial" w:hAnsi="Arial" w:cs="Arial"/>
          <w:color w:val="000000"/>
        </w:rPr>
        <w:t xml:space="preserve"> through the Copernicus Marine Service Evolution projects (</w:t>
      </w:r>
      <w:hyperlink r:id="rId11" w:history="1">
        <w:r w:rsidRPr="004D58B9">
          <w:rPr>
            <w:rStyle w:val="Hyperlink"/>
            <w:rFonts w:ascii="Arial" w:hAnsi="Arial" w:cs="Arial"/>
          </w:rPr>
          <w:t>https://marine.copernicus.eu/about/research-development-projects</w:t>
        </w:r>
      </w:hyperlink>
      <w:r w:rsidR="00091C20" w:rsidRPr="0036050F">
        <w:rPr>
          <w:rFonts w:ascii="Arial" w:hAnsi="Arial" w:cs="Arial"/>
          <w:color w:val="000000"/>
        </w:rPr>
        <w:t>)</w:t>
      </w:r>
    </w:p>
    <w:p w14:paraId="449FF8CC" w14:textId="77777777" w:rsidR="00091C20" w:rsidRPr="00EE6605" w:rsidRDefault="00091C20" w:rsidP="006968E6">
      <w:pPr>
        <w:rPr>
          <w:rFonts w:ascii="Arial" w:hAnsi="Arial" w:cs="Arial"/>
          <w:color w:val="000000"/>
        </w:rPr>
      </w:pPr>
    </w:p>
    <w:p w14:paraId="7E816290" w14:textId="08B243A4" w:rsidR="00F36179" w:rsidRPr="00D75D96" w:rsidRDefault="00D75D96" w:rsidP="00D75D96">
      <w:pPr>
        <w:pStyle w:val="ListParagraph"/>
        <w:numPr>
          <w:ilvl w:val="0"/>
          <w:numId w:val="1"/>
        </w:numPr>
        <w:rPr>
          <w:rFonts w:ascii="Arial" w:hAnsi="Arial" w:cs="Arial"/>
          <w:b/>
          <w:bCs/>
          <w:color w:val="000000"/>
        </w:rPr>
      </w:pPr>
      <w:r>
        <w:rPr>
          <w:rFonts w:ascii="Arial" w:hAnsi="Arial" w:cs="Arial"/>
          <w:b/>
          <w:bCs/>
          <w:color w:val="000000"/>
        </w:rPr>
        <w:t>Aquatic Carbon roadmap</w:t>
      </w:r>
      <w:r w:rsidR="00F36179" w:rsidRPr="00D75D96">
        <w:rPr>
          <w:rFonts w:ascii="Arial" w:hAnsi="Arial" w:cs="Arial"/>
          <w:b/>
          <w:bCs/>
          <w:color w:val="000000"/>
        </w:rPr>
        <w:t xml:space="preserve"> core team</w:t>
      </w:r>
    </w:p>
    <w:p w14:paraId="0F9B2F80" w14:textId="77777777" w:rsidR="00F36179" w:rsidRDefault="00F36179" w:rsidP="006968E6">
      <w:pPr>
        <w:rPr>
          <w:rFonts w:ascii="Arial" w:hAnsi="Arial" w:cs="Arial"/>
          <w:color w:val="000000"/>
          <w:u w:val="single"/>
        </w:rPr>
      </w:pPr>
    </w:p>
    <w:p w14:paraId="5851F91B" w14:textId="0E463C5D" w:rsidR="00D75D96" w:rsidRDefault="00D75D96" w:rsidP="006968E6">
      <w:pPr>
        <w:rPr>
          <w:rFonts w:ascii="Arial" w:hAnsi="Arial" w:cs="Arial"/>
          <w:color w:val="000000"/>
        </w:rPr>
      </w:pPr>
      <w:r w:rsidRPr="00D75D96">
        <w:rPr>
          <w:rFonts w:ascii="Arial" w:hAnsi="Arial" w:cs="Arial"/>
          <w:color w:val="000000"/>
        </w:rPr>
        <w:t>Considering the above, the following core team is proposed:</w:t>
      </w:r>
    </w:p>
    <w:p w14:paraId="6ACB2530" w14:textId="77777777" w:rsidR="00D75D96" w:rsidRPr="00D75D96" w:rsidRDefault="00D75D96" w:rsidP="006968E6">
      <w:pPr>
        <w:rPr>
          <w:rFonts w:ascii="Arial" w:hAnsi="Arial" w:cs="Arial"/>
          <w:color w:val="000000"/>
        </w:rPr>
      </w:pPr>
    </w:p>
    <w:p w14:paraId="3A132E04" w14:textId="77777777" w:rsidR="00F36179" w:rsidRPr="007636AB" w:rsidRDefault="00F36179" w:rsidP="00F36179">
      <w:pPr>
        <w:rPr>
          <w:rFonts w:ascii="Arial" w:hAnsi="Arial" w:cs="Arial"/>
          <w:b/>
          <w:bCs/>
          <w:color w:val="000000"/>
        </w:rPr>
      </w:pPr>
      <w:r w:rsidRPr="007636AB">
        <w:rPr>
          <w:rFonts w:ascii="Arial" w:hAnsi="Arial" w:cs="Arial"/>
          <w:b/>
          <w:bCs/>
          <w:color w:val="000000"/>
        </w:rPr>
        <w:t>Coordinators</w:t>
      </w:r>
    </w:p>
    <w:p w14:paraId="0CD91524" w14:textId="77777777" w:rsidR="00F36179" w:rsidRPr="00D15D06" w:rsidRDefault="00F36179" w:rsidP="00F36179">
      <w:pPr>
        <w:rPr>
          <w:rFonts w:ascii="Arial" w:hAnsi="Arial" w:cs="Arial"/>
          <w:color w:val="000000"/>
        </w:rPr>
      </w:pPr>
      <w:r w:rsidRPr="00D15D06">
        <w:rPr>
          <w:rFonts w:ascii="Arial" w:hAnsi="Arial" w:cs="Arial"/>
          <w:color w:val="000000"/>
        </w:rPr>
        <w:t>Laura Lorenzoni (NASA, agreed</w:t>
      </w:r>
      <w:r>
        <w:rPr>
          <w:rFonts w:ascii="Arial" w:hAnsi="Arial" w:cs="Arial"/>
          <w:color w:val="000000"/>
        </w:rPr>
        <w:t xml:space="preserve"> </w:t>
      </w:r>
      <w:r w:rsidRPr="001A1BA6">
        <w:rPr>
          <w:rFonts w:ascii="Arial" w:hAnsi="Arial" w:cs="Arial"/>
          <w:color w:val="000000"/>
        </w:rPr>
        <w:t>but still t</w:t>
      </w:r>
      <w:r>
        <w:rPr>
          <w:rFonts w:ascii="Arial" w:hAnsi="Arial" w:cs="Arial"/>
          <w:color w:val="000000"/>
        </w:rPr>
        <w:t>o be confirmed by CEOS Principals at Plenary</w:t>
      </w:r>
      <w:r w:rsidRPr="00D15D06">
        <w:rPr>
          <w:rFonts w:ascii="Arial" w:hAnsi="Arial" w:cs="Arial"/>
          <w:color w:val="000000"/>
        </w:rPr>
        <w:t>)</w:t>
      </w:r>
    </w:p>
    <w:p w14:paraId="7F0CB6B4" w14:textId="77777777" w:rsidR="00F36179" w:rsidRPr="00D15D06" w:rsidRDefault="00F36179" w:rsidP="00F36179">
      <w:pPr>
        <w:rPr>
          <w:rFonts w:ascii="Arial" w:hAnsi="Arial" w:cs="Arial"/>
          <w:color w:val="000000"/>
        </w:rPr>
      </w:pPr>
      <w:r w:rsidRPr="00D15D06">
        <w:rPr>
          <w:rFonts w:ascii="Arial" w:hAnsi="Arial" w:cs="Arial"/>
          <w:color w:val="000000"/>
        </w:rPr>
        <w:t>Marie-Helene Rio (ESA, agreed</w:t>
      </w:r>
      <w:r>
        <w:rPr>
          <w:rFonts w:ascii="Arial" w:hAnsi="Arial" w:cs="Arial"/>
          <w:color w:val="000000"/>
        </w:rPr>
        <w:t xml:space="preserve"> </w:t>
      </w:r>
      <w:r w:rsidRPr="001A1BA6">
        <w:rPr>
          <w:rFonts w:ascii="Arial" w:hAnsi="Arial" w:cs="Arial"/>
          <w:color w:val="000000"/>
        </w:rPr>
        <w:t>but still t</w:t>
      </w:r>
      <w:r>
        <w:rPr>
          <w:rFonts w:ascii="Arial" w:hAnsi="Arial" w:cs="Arial"/>
          <w:color w:val="000000"/>
        </w:rPr>
        <w:t>o be confirmed by CEOS Principals at Plenary</w:t>
      </w:r>
      <w:r w:rsidRPr="00D15D06">
        <w:rPr>
          <w:rFonts w:ascii="Arial" w:hAnsi="Arial" w:cs="Arial"/>
          <w:color w:val="000000"/>
        </w:rPr>
        <w:t>)</w:t>
      </w:r>
    </w:p>
    <w:p w14:paraId="25CA132D" w14:textId="77777777" w:rsidR="00F36179" w:rsidRPr="00D15D06" w:rsidRDefault="00F36179" w:rsidP="00F36179">
      <w:pPr>
        <w:rPr>
          <w:rFonts w:ascii="Arial" w:hAnsi="Arial" w:cs="Arial"/>
          <w:color w:val="000000"/>
        </w:rPr>
      </w:pPr>
      <w:r w:rsidRPr="00D15D06">
        <w:rPr>
          <w:rFonts w:ascii="Arial" w:hAnsi="Arial" w:cs="Arial"/>
          <w:color w:val="000000"/>
        </w:rPr>
        <w:t xml:space="preserve">Hiroshi Murakami (JAXA, </w:t>
      </w:r>
      <w:r>
        <w:rPr>
          <w:rFonts w:ascii="Arial" w:hAnsi="Arial" w:cs="Arial"/>
          <w:color w:val="000000"/>
        </w:rPr>
        <w:t>agre</w:t>
      </w:r>
      <w:r w:rsidRPr="00D15D06">
        <w:rPr>
          <w:rFonts w:ascii="Arial" w:hAnsi="Arial" w:cs="Arial"/>
          <w:color w:val="000000"/>
        </w:rPr>
        <w:t>ed</w:t>
      </w:r>
      <w:r>
        <w:rPr>
          <w:rFonts w:ascii="Arial" w:hAnsi="Arial" w:cs="Arial"/>
          <w:color w:val="000000"/>
        </w:rPr>
        <w:t xml:space="preserve"> </w:t>
      </w:r>
      <w:r w:rsidRPr="001A1BA6">
        <w:rPr>
          <w:rFonts w:ascii="Arial" w:hAnsi="Arial" w:cs="Arial"/>
          <w:color w:val="000000"/>
        </w:rPr>
        <w:t>but still t</w:t>
      </w:r>
      <w:r>
        <w:rPr>
          <w:rFonts w:ascii="Arial" w:hAnsi="Arial" w:cs="Arial"/>
          <w:color w:val="000000"/>
        </w:rPr>
        <w:t>o be confirmed by CEOS Principals at Plenary</w:t>
      </w:r>
      <w:r w:rsidRPr="00D15D06">
        <w:rPr>
          <w:rFonts w:ascii="Arial" w:hAnsi="Arial" w:cs="Arial"/>
          <w:color w:val="000000"/>
        </w:rPr>
        <w:t xml:space="preserve">) </w:t>
      </w:r>
    </w:p>
    <w:p w14:paraId="544E5B85" w14:textId="77777777" w:rsidR="00F36179" w:rsidRPr="00D15D06" w:rsidRDefault="00F36179" w:rsidP="00F36179">
      <w:pPr>
        <w:rPr>
          <w:rFonts w:ascii="Arial" w:hAnsi="Arial" w:cs="Arial"/>
          <w:color w:val="000000"/>
        </w:rPr>
      </w:pPr>
    </w:p>
    <w:p w14:paraId="5D19E3AB" w14:textId="77777777" w:rsidR="00F36179" w:rsidRPr="007636AB" w:rsidRDefault="00F36179" w:rsidP="00F36179">
      <w:pPr>
        <w:rPr>
          <w:rFonts w:ascii="Arial" w:hAnsi="Arial" w:cs="Arial"/>
          <w:b/>
          <w:bCs/>
          <w:color w:val="000000"/>
        </w:rPr>
      </w:pPr>
      <w:r w:rsidRPr="007636AB">
        <w:rPr>
          <w:rFonts w:ascii="Arial" w:hAnsi="Arial" w:cs="Arial"/>
          <w:b/>
          <w:bCs/>
          <w:color w:val="000000"/>
        </w:rPr>
        <w:t>Scientific leaders</w:t>
      </w:r>
    </w:p>
    <w:p w14:paraId="453FF59B" w14:textId="77777777" w:rsidR="00F36179" w:rsidRPr="00D15D06" w:rsidRDefault="00F36179" w:rsidP="00F36179">
      <w:pPr>
        <w:rPr>
          <w:rFonts w:ascii="Arial" w:hAnsi="Arial" w:cs="Arial"/>
          <w:color w:val="000000"/>
        </w:rPr>
      </w:pPr>
      <w:r w:rsidRPr="00D15D06">
        <w:rPr>
          <w:rFonts w:ascii="Arial" w:hAnsi="Arial" w:cs="Arial"/>
          <w:color w:val="000000"/>
        </w:rPr>
        <w:t>Jamie Shutler (University of Exeter, agreed)</w:t>
      </w:r>
    </w:p>
    <w:p w14:paraId="41BE1705" w14:textId="77777777" w:rsidR="00F36179" w:rsidRPr="00D15D06" w:rsidRDefault="00F36179" w:rsidP="00F36179">
      <w:pPr>
        <w:rPr>
          <w:rFonts w:ascii="Arial" w:hAnsi="Arial" w:cs="Arial"/>
          <w:color w:val="000000"/>
        </w:rPr>
      </w:pPr>
      <w:r w:rsidRPr="00D15D06">
        <w:rPr>
          <w:rFonts w:ascii="Arial" w:hAnsi="Arial" w:cs="Arial"/>
          <w:color w:val="000000"/>
        </w:rPr>
        <w:t>Bob Brewin (University of Exeter, agreed)</w:t>
      </w:r>
    </w:p>
    <w:p w14:paraId="3486013F" w14:textId="77777777" w:rsidR="00F36179" w:rsidRPr="00D15D06" w:rsidRDefault="00F36179" w:rsidP="00F36179">
      <w:pPr>
        <w:rPr>
          <w:rFonts w:ascii="Arial" w:hAnsi="Arial" w:cs="Arial"/>
          <w:color w:val="000000"/>
        </w:rPr>
      </w:pPr>
      <w:r w:rsidRPr="00D15D06">
        <w:rPr>
          <w:rFonts w:ascii="Arial" w:hAnsi="Arial" w:cs="Arial"/>
          <w:color w:val="000000"/>
        </w:rPr>
        <w:t>Cecile Rousseaux (NASA, agreed)</w:t>
      </w:r>
    </w:p>
    <w:p w14:paraId="22E4F32F" w14:textId="77777777" w:rsidR="00484A4B" w:rsidRPr="00D15D06" w:rsidRDefault="00484A4B" w:rsidP="00484A4B">
      <w:pPr>
        <w:rPr>
          <w:rFonts w:ascii="Arial" w:hAnsi="Arial" w:cs="Arial"/>
          <w:color w:val="000000"/>
        </w:rPr>
      </w:pPr>
      <w:r>
        <w:rPr>
          <w:rFonts w:ascii="Arial" w:hAnsi="Arial" w:cs="Arial"/>
          <w:color w:val="000000"/>
        </w:rPr>
        <w:t>Kelsey Bisson (NASA, agreed)</w:t>
      </w:r>
    </w:p>
    <w:p w14:paraId="400FD2B5" w14:textId="77777777" w:rsidR="00F36179" w:rsidRPr="007636AB" w:rsidRDefault="00F36179" w:rsidP="006968E6">
      <w:pPr>
        <w:rPr>
          <w:rFonts w:ascii="Arial" w:hAnsi="Arial" w:cs="Arial"/>
          <w:color w:val="000000"/>
        </w:rPr>
      </w:pPr>
    </w:p>
    <w:p w14:paraId="61FD6564" w14:textId="160452F6" w:rsidR="00A07B4E" w:rsidRDefault="00A07B4E" w:rsidP="00A07B4E">
      <w:pPr>
        <w:jc w:val="both"/>
        <w:rPr>
          <w:rFonts w:ascii="Arial" w:hAnsi="Arial" w:cs="Arial"/>
          <w:color w:val="000000"/>
        </w:rPr>
      </w:pPr>
    </w:p>
    <w:p w14:paraId="5F58C1E9" w14:textId="77777777" w:rsidR="00D75D96" w:rsidRDefault="00D75D96" w:rsidP="00A07B4E">
      <w:pPr>
        <w:jc w:val="both"/>
        <w:rPr>
          <w:rFonts w:ascii="Arial" w:hAnsi="Arial" w:cs="Arial"/>
          <w:color w:val="000000"/>
        </w:rPr>
      </w:pPr>
    </w:p>
    <w:p w14:paraId="38877405" w14:textId="77777777" w:rsidR="00D75D96" w:rsidRDefault="00D75D96" w:rsidP="00A07B4E">
      <w:pPr>
        <w:jc w:val="both"/>
        <w:rPr>
          <w:rFonts w:ascii="Arial" w:hAnsi="Arial" w:cs="Arial"/>
          <w:color w:val="000000"/>
        </w:rPr>
      </w:pPr>
    </w:p>
    <w:p w14:paraId="1186EFC7" w14:textId="77777777" w:rsidR="00D75D96" w:rsidRPr="007636AB" w:rsidRDefault="00D75D96" w:rsidP="00A07B4E">
      <w:pPr>
        <w:jc w:val="both"/>
        <w:rPr>
          <w:rFonts w:ascii="Arial" w:hAnsi="Arial" w:cs="Arial"/>
          <w:color w:val="000000"/>
        </w:rPr>
      </w:pPr>
    </w:p>
    <w:p w14:paraId="29399DB9" w14:textId="4EBF8C77" w:rsidR="00E54EBE" w:rsidRPr="00884B1E" w:rsidRDefault="00E54EBE" w:rsidP="00E54EBE">
      <w:pPr>
        <w:pStyle w:val="ListParagraph"/>
        <w:numPr>
          <w:ilvl w:val="0"/>
          <w:numId w:val="1"/>
        </w:numPr>
        <w:jc w:val="both"/>
        <w:rPr>
          <w:rFonts w:ascii="Arial" w:hAnsi="Arial" w:cs="Arial"/>
          <w:b/>
          <w:bCs/>
        </w:rPr>
      </w:pPr>
      <w:r w:rsidRPr="00884B1E">
        <w:rPr>
          <w:rFonts w:ascii="Arial" w:hAnsi="Arial" w:cs="Arial"/>
          <w:b/>
          <w:bCs/>
        </w:rPr>
        <w:lastRenderedPageBreak/>
        <w:t>Aquatic Roadmap Outline</w:t>
      </w:r>
      <w:r w:rsidR="006E346A">
        <w:rPr>
          <w:rFonts w:ascii="Arial" w:hAnsi="Arial" w:cs="Arial"/>
          <w:b/>
          <w:bCs/>
        </w:rPr>
        <w:t xml:space="preserve"> (notional)</w:t>
      </w:r>
    </w:p>
    <w:p w14:paraId="2F17A498" w14:textId="77777777" w:rsidR="00F36179" w:rsidRPr="00884B1E" w:rsidRDefault="00F36179" w:rsidP="00F36179">
      <w:pPr>
        <w:jc w:val="both"/>
        <w:rPr>
          <w:rFonts w:ascii="Arial" w:hAnsi="Arial" w:cs="Arial"/>
        </w:rPr>
      </w:pPr>
    </w:p>
    <w:p w14:paraId="3A45431E" w14:textId="77777777" w:rsidR="00F36179" w:rsidRPr="00D75D96" w:rsidRDefault="00F36179" w:rsidP="00F36179">
      <w:pPr>
        <w:jc w:val="both"/>
        <w:rPr>
          <w:rFonts w:ascii="Arial" w:hAnsi="Arial" w:cs="Arial"/>
        </w:rPr>
      </w:pPr>
      <w:r w:rsidRPr="00D75D96">
        <w:rPr>
          <w:rFonts w:ascii="Arial" w:hAnsi="Arial" w:cs="Arial"/>
        </w:rPr>
        <w:t xml:space="preserve">1. Introduction (overview, </w:t>
      </w:r>
      <w:proofErr w:type="gramStart"/>
      <w:r w:rsidRPr="00D75D96">
        <w:rPr>
          <w:rFonts w:ascii="Arial" w:hAnsi="Arial" w:cs="Arial"/>
        </w:rPr>
        <w:t>purpose</w:t>
      </w:r>
      <w:proofErr w:type="gramEnd"/>
      <w:r w:rsidRPr="00D75D96">
        <w:rPr>
          <w:rFonts w:ascii="Arial" w:hAnsi="Arial" w:cs="Arial"/>
        </w:rPr>
        <w:t xml:space="preserve"> and scope)</w:t>
      </w:r>
    </w:p>
    <w:p w14:paraId="0E2CB6DC" w14:textId="77777777" w:rsidR="00F36179" w:rsidRPr="00884B1E" w:rsidRDefault="00F36179" w:rsidP="00F36179">
      <w:pPr>
        <w:jc w:val="both"/>
        <w:rPr>
          <w:rFonts w:ascii="Arial" w:hAnsi="Arial" w:cs="Arial"/>
        </w:rPr>
      </w:pPr>
      <w:r w:rsidRPr="00884B1E">
        <w:rPr>
          <w:rFonts w:ascii="Arial" w:hAnsi="Arial" w:cs="Arial"/>
        </w:rPr>
        <w:t xml:space="preserve"> - the role of aquatic systems in carbon uptake and cycling</w:t>
      </w:r>
    </w:p>
    <w:p w14:paraId="646FCB0B" w14:textId="77777777" w:rsidR="00F36179" w:rsidRPr="00884B1E" w:rsidRDefault="00F36179" w:rsidP="00F36179">
      <w:pPr>
        <w:jc w:val="both"/>
        <w:rPr>
          <w:rFonts w:ascii="Arial" w:hAnsi="Arial" w:cs="Arial"/>
        </w:rPr>
      </w:pPr>
      <w:r w:rsidRPr="00884B1E">
        <w:rPr>
          <w:rFonts w:ascii="Arial" w:hAnsi="Arial" w:cs="Arial"/>
        </w:rPr>
        <w:t xml:space="preserve"> - the ocean observational constraint on global carbon</w:t>
      </w:r>
    </w:p>
    <w:p w14:paraId="2FCD5CE2" w14:textId="77777777" w:rsidR="00F36179" w:rsidRPr="00884B1E" w:rsidRDefault="00F36179" w:rsidP="00F36179">
      <w:pPr>
        <w:jc w:val="both"/>
        <w:rPr>
          <w:rFonts w:ascii="Arial" w:hAnsi="Arial" w:cs="Arial"/>
        </w:rPr>
      </w:pPr>
      <w:r w:rsidRPr="00884B1E">
        <w:rPr>
          <w:rFonts w:ascii="Arial" w:hAnsi="Arial" w:cs="Arial"/>
        </w:rPr>
        <w:t xml:space="preserve"> - Evaluate the role of remote sensing to inform IPCC Guidelines and 2035+ vision</w:t>
      </w:r>
    </w:p>
    <w:p w14:paraId="7471158D" w14:textId="77777777" w:rsidR="00F36179" w:rsidRPr="00884B1E" w:rsidRDefault="00F36179" w:rsidP="00F36179">
      <w:pPr>
        <w:jc w:val="both"/>
        <w:rPr>
          <w:rFonts w:ascii="Arial" w:hAnsi="Arial" w:cs="Arial"/>
        </w:rPr>
      </w:pPr>
    </w:p>
    <w:p w14:paraId="3154BF0E" w14:textId="3A0AC392" w:rsidR="00F36179" w:rsidRPr="00884B1E" w:rsidRDefault="00F36179" w:rsidP="00F36179">
      <w:pPr>
        <w:jc w:val="both"/>
        <w:rPr>
          <w:rFonts w:ascii="Arial" w:hAnsi="Arial" w:cs="Arial"/>
        </w:rPr>
      </w:pPr>
      <w:r w:rsidRPr="00884B1E">
        <w:rPr>
          <w:rFonts w:ascii="Arial" w:hAnsi="Arial" w:cs="Arial"/>
        </w:rPr>
        <w:t>2. The critical need and opportunity (from Brewin et al., 2020;2023, Shutler et al., 2020; in-revision</w:t>
      </w:r>
      <w:r w:rsidR="00D75D96">
        <w:rPr>
          <w:rFonts w:ascii="Arial" w:hAnsi="Arial" w:cs="Arial"/>
        </w:rPr>
        <w:t xml:space="preserve"> and </w:t>
      </w:r>
      <w:r w:rsidR="00722042" w:rsidRPr="00722042">
        <w:rPr>
          <w:rFonts w:ascii="Arial" w:hAnsi="Arial" w:cs="Arial"/>
        </w:rPr>
        <w:t xml:space="preserve">other contributions from the Aquatic Carbon </w:t>
      </w:r>
      <w:proofErr w:type="gramStart"/>
      <w:r w:rsidR="00722042" w:rsidRPr="00722042">
        <w:rPr>
          <w:rFonts w:ascii="Arial" w:hAnsi="Arial" w:cs="Arial"/>
        </w:rPr>
        <w:t>From</w:t>
      </w:r>
      <w:proofErr w:type="gramEnd"/>
      <w:r w:rsidR="00722042" w:rsidRPr="00722042">
        <w:rPr>
          <w:rFonts w:ascii="Arial" w:hAnsi="Arial" w:cs="Arial"/>
        </w:rPr>
        <w:t xml:space="preserve"> Space Special Issue).</w:t>
      </w:r>
    </w:p>
    <w:p w14:paraId="1B32473E" w14:textId="77777777" w:rsidR="00F36179" w:rsidRPr="00884B1E" w:rsidRDefault="00F36179" w:rsidP="00F36179">
      <w:pPr>
        <w:jc w:val="both"/>
        <w:rPr>
          <w:rFonts w:ascii="Arial" w:hAnsi="Arial" w:cs="Arial"/>
        </w:rPr>
      </w:pPr>
    </w:p>
    <w:p w14:paraId="72E3D01D" w14:textId="49FD8DFB" w:rsidR="00F36179" w:rsidRPr="00884B1E" w:rsidRDefault="00F36179" w:rsidP="00F36179">
      <w:pPr>
        <w:jc w:val="both"/>
        <w:rPr>
          <w:rFonts w:ascii="Arial" w:hAnsi="Arial" w:cs="Arial"/>
        </w:rPr>
      </w:pPr>
      <w:r w:rsidRPr="00884B1E">
        <w:rPr>
          <w:rFonts w:ascii="Arial" w:hAnsi="Arial" w:cs="Arial"/>
        </w:rPr>
        <w:t>3. Overview of remote sensing and Earth observation capabilities (brief overview from Brewin et al., 2020;2023, Shutler et al., 2020; in-revision)</w:t>
      </w:r>
      <w:r w:rsidR="00BA0BF1">
        <w:rPr>
          <w:rFonts w:ascii="Arial" w:hAnsi="Arial" w:cs="Arial"/>
        </w:rPr>
        <w:t>, including the necessary synergy with in-situ measurements and models</w:t>
      </w:r>
      <w:r w:rsidR="00D75D96">
        <w:rPr>
          <w:rFonts w:ascii="Arial" w:hAnsi="Arial" w:cs="Arial"/>
        </w:rPr>
        <w:t>.</w:t>
      </w:r>
    </w:p>
    <w:p w14:paraId="28B3EA63" w14:textId="77777777" w:rsidR="00F36179" w:rsidRPr="00884B1E" w:rsidRDefault="00F36179" w:rsidP="00F36179">
      <w:pPr>
        <w:jc w:val="both"/>
        <w:rPr>
          <w:rFonts w:ascii="Arial" w:hAnsi="Arial" w:cs="Arial"/>
        </w:rPr>
      </w:pPr>
    </w:p>
    <w:p w14:paraId="1933A990" w14:textId="77777777" w:rsidR="00F36179" w:rsidRPr="00884B1E" w:rsidRDefault="00F36179" w:rsidP="00F36179">
      <w:pPr>
        <w:jc w:val="both"/>
        <w:rPr>
          <w:rFonts w:ascii="Arial" w:hAnsi="Arial" w:cs="Arial"/>
        </w:rPr>
      </w:pPr>
      <w:r w:rsidRPr="00884B1E">
        <w:rPr>
          <w:rFonts w:ascii="Arial" w:hAnsi="Arial" w:cs="Arial"/>
        </w:rPr>
        <w:t>4. Deployment of capabilities</w:t>
      </w:r>
    </w:p>
    <w:p w14:paraId="6DFCCBBB" w14:textId="77777777" w:rsidR="00F36179" w:rsidRPr="00884B1E" w:rsidRDefault="00F36179" w:rsidP="00F36179">
      <w:pPr>
        <w:jc w:val="both"/>
        <w:rPr>
          <w:rFonts w:ascii="Arial" w:hAnsi="Arial" w:cs="Arial"/>
        </w:rPr>
      </w:pPr>
      <w:r w:rsidRPr="00884B1E">
        <w:rPr>
          <w:rFonts w:ascii="Arial" w:hAnsi="Arial" w:cs="Arial"/>
        </w:rPr>
        <w:t xml:space="preserve"> - use existing capabilities to demonstrate strength of the ocean constraint on global carbon (from Shutler et al., in-revision)</w:t>
      </w:r>
    </w:p>
    <w:p w14:paraId="1620BDA5" w14:textId="59C8B7A3" w:rsidR="00F36179" w:rsidRPr="00884B1E" w:rsidRDefault="00F36179" w:rsidP="00F36179">
      <w:pPr>
        <w:jc w:val="both"/>
        <w:rPr>
          <w:rFonts w:ascii="Arial" w:hAnsi="Arial" w:cs="Arial"/>
        </w:rPr>
      </w:pPr>
      <w:r w:rsidRPr="00884B1E">
        <w:rPr>
          <w:rFonts w:ascii="Arial" w:hAnsi="Arial" w:cs="Arial"/>
        </w:rPr>
        <w:t xml:space="preserve"> - expand visibility of satellite derived data within international </w:t>
      </w:r>
      <w:r w:rsidR="003237C7">
        <w:rPr>
          <w:rFonts w:ascii="Arial" w:hAnsi="Arial" w:cs="Arial"/>
        </w:rPr>
        <w:t xml:space="preserve">data and products </w:t>
      </w:r>
      <w:r w:rsidRPr="00884B1E">
        <w:rPr>
          <w:rFonts w:ascii="Arial" w:hAnsi="Arial" w:cs="Arial"/>
        </w:rPr>
        <w:t>portals (</w:t>
      </w:r>
      <w:proofErr w:type="gramStart"/>
      <w:r w:rsidRPr="00884B1E">
        <w:rPr>
          <w:rFonts w:ascii="Arial" w:hAnsi="Arial" w:cs="Arial"/>
        </w:rPr>
        <w:t>e.g.</w:t>
      </w:r>
      <w:proofErr w:type="gramEnd"/>
      <w:r w:rsidRPr="00884B1E">
        <w:rPr>
          <w:rFonts w:ascii="Arial" w:hAnsi="Arial" w:cs="Arial"/>
        </w:rPr>
        <w:t xml:space="preserve"> Copernicus</w:t>
      </w:r>
      <w:r w:rsidR="00854D72">
        <w:rPr>
          <w:rFonts w:ascii="Arial" w:hAnsi="Arial" w:cs="Arial"/>
        </w:rPr>
        <w:t>)</w:t>
      </w:r>
    </w:p>
    <w:p w14:paraId="01182E66" w14:textId="77777777" w:rsidR="00F36179" w:rsidRPr="00884B1E" w:rsidRDefault="00F36179" w:rsidP="00F36179">
      <w:pPr>
        <w:jc w:val="both"/>
        <w:rPr>
          <w:rFonts w:ascii="Arial" w:hAnsi="Arial" w:cs="Arial"/>
        </w:rPr>
      </w:pPr>
    </w:p>
    <w:p w14:paraId="4ABE9014" w14:textId="2231A8B7" w:rsidR="00F36179" w:rsidRPr="00884B1E" w:rsidRDefault="00F36179" w:rsidP="00854D72">
      <w:pPr>
        <w:jc w:val="both"/>
        <w:rPr>
          <w:rFonts w:ascii="Arial" w:hAnsi="Arial" w:cs="Arial"/>
        </w:rPr>
      </w:pPr>
      <w:r w:rsidRPr="00884B1E">
        <w:rPr>
          <w:rFonts w:ascii="Arial" w:hAnsi="Arial" w:cs="Arial"/>
        </w:rPr>
        <w:t>5. Roadmap and perspective</w:t>
      </w:r>
    </w:p>
    <w:p w14:paraId="0BAA1B49" w14:textId="77777777" w:rsidR="00F36179" w:rsidRPr="00884B1E" w:rsidRDefault="00F36179" w:rsidP="00F36179">
      <w:pPr>
        <w:jc w:val="both"/>
        <w:rPr>
          <w:rFonts w:ascii="Arial" w:hAnsi="Arial" w:cs="Arial"/>
        </w:rPr>
      </w:pPr>
    </w:p>
    <w:p w14:paraId="17E56A62" w14:textId="77777777" w:rsidR="00F36179" w:rsidRPr="00884B1E" w:rsidRDefault="00F36179" w:rsidP="00F36179">
      <w:pPr>
        <w:jc w:val="both"/>
        <w:rPr>
          <w:rFonts w:ascii="Arial" w:hAnsi="Arial" w:cs="Arial"/>
        </w:rPr>
      </w:pPr>
      <w:r w:rsidRPr="00884B1E">
        <w:rPr>
          <w:rFonts w:ascii="Arial" w:hAnsi="Arial" w:cs="Arial"/>
        </w:rPr>
        <w:t>6. Complementarities and linkages to other CEOS roadmaps (GHG and AFOLU))</w:t>
      </w:r>
    </w:p>
    <w:p w14:paraId="572EE12E" w14:textId="77777777" w:rsidR="00F36179" w:rsidRPr="00884B1E" w:rsidRDefault="00F36179" w:rsidP="00F36179">
      <w:pPr>
        <w:jc w:val="both"/>
        <w:rPr>
          <w:rFonts w:ascii="Arial" w:hAnsi="Arial" w:cs="Arial"/>
        </w:rPr>
      </w:pPr>
    </w:p>
    <w:p w14:paraId="3C8188AA" w14:textId="77777777" w:rsidR="00F36179" w:rsidRPr="00884B1E" w:rsidRDefault="00F36179" w:rsidP="00F36179">
      <w:pPr>
        <w:jc w:val="both"/>
        <w:rPr>
          <w:rFonts w:ascii="Arial" w:hAnsi="Arial" w:cs="Arial"/>
        </w:rPr>
      </w:pPr>
      <w:r w:rsidRPr="00884B1E">
        <w:rPr>
          <w:rFonts w:ascii="Arial" w:hAnsi="Arial" w:cs="Arial"/>
        </w:rPr>
        <w:t>7. Capacity building</w:t>
      </w:r>
    </w:p>
    <w:p w14:paraId="5064AB43" w14:textId="77777777" w:rsidR="00F36179" w:rsidRPr="00884B1E" w:rsidRDefault="00F36179" w:rsidP="00F36179">
      <w:pPr>
        <w:jc w:val="both"/>
        <w:rPr>
          <w:rFonts w:ascii="Arial" w:hAnsi="Arial" w:cs="Arial"/>
        </w:rPr>
      </w:pPr>
      <w:r w:rsidRPr="00884B1E">
        <w:rPr>
          <w:rFonts w:ascii="Arial" w:hAnsi="Arial" w:cs="Arial"/>
        </w:rPr>
        <w:t xml:space="preserve">  - CEOS data portal</w:t>
      </w:r>
    </w:p>
    <w:p w14:paraId="410B0A72" w14:textId="77777777" w:rsidR="00F36179" w:rsidRPr="00884B1E" w:rsidRDefault="00F36179" w:rsidP="00F36179">
      <w:pPr>
        <w:jc w:val="both"/>
        <w:rPr>
          <w:rFonts w:ascii="Arial" w:hAnsi="Arial" w:cs="Arial"/>
        </w:rPr>
      </w:pPr>
      <w:r w:rsidRPr="00884B1E">
        <w:rPr>
          <w:rFonts w:ascii="Arial" w:hAnsi="Arial" w:cs="Arial"/>
        </w:rPr>
        <w:t xml:space="preserve">  - Private or commercial (e.g., Planet).</w:t>
      </w:r>
    </w:p>
    <w:p w14:paraId="5F9CA0D6" w14:textId="77777777" w:rsidR="00F36179" w:rsidRPr="00884B1E" w:rsidRDefault="00F36179" w:rsidP="00F36179">
      <w:pPr>
        <w:jc w:val="both"/>
        <w:rPr>
          <w:rFonts w:ascii="Arial" w:hAnsi="Arial" w:cs="Arial"/>
        </w:rPr>
      </w:pPr>
      <w:r w:rsidRPr="00884B1E">
        <w:rPr>
          <w:rFonts w:ascii="Arial" w:hAnsi="Arial" w:cs="Arial"/>
        </w:rPr>
        <w:t xml:space="preserve">  - agencies or </w:t>
      </w:r>
      <w:proofErr w:type="spellStart"/>
      <w:r w:rsidRPr="00884B1E">
        <w:rPr>
          <w:rFonts w:ascii="Arial" w:hAnsi="Arial" w:cs="Arial"/>
        </w:rPr>
        <w:t>programmes</w:t>
      </w:r>
      <w:proofErr w:type="spellEnd"/>
      <w:r w:rsidRPr="00884B1E">
        <w:rPr>
          <w:rFonts w:ascii="Arial" w:hAnsi="Arial" w:cs="Arial"/>
        </w:rPr>
        <w:t xml:space="preserve"> (e.g., Copernicus).</w:t>
      </w:r>
    </w:p>
    <w:p w14:paraId="16D32163" w14:textId="77777777" w:rsidR="00F36179" w:rsidRPr="00884B1E" w:rsidRDefault="00F36179" w:rsidP="00F36179">
      <w:pPr>
        <w:jc w:val="both"/>
        <w:rPr>
          <w:rFonts w:ascii="Arial" w:hAnsi="Arial" w:cs="Arial"/>
        </w:rPr>
      </w:pPr>
    </w:p>
    <w:p w14:paraId="3CB49F2B" w14:textId="77777777" w:rsidR="00F36179" w:rsidRPr="00884B1E" w:rsidRDefault="00F36179" w:rsidP="00F36179">
      <w:pPr>
        <w:jc w:val="both"/>
        <w:rPr>
          <w:rFonts w:ascii="Arial" w:hAnsi="Arial" w:cs="Arial"/>
        </w:rPr>
      </w:pPr>
      <w:r w:rsidRPr="00884B1E">
        <w:rPr>
          <w:rFonts w:ascii="Arial" w:hAnsi="Arial" w:cs="Arial"/>
        </w:rPr>
        <w:t>8. Forward looking actions</w:t>
      </w:r>
    </w:p>
    <w:p w14:paraId="784B040B" w14:textId="77777777" w:rsidR="00F36179" w:rsidRPr="00884B1E" w:rsidRDefault="00F36179" w:rsidP="00F36179">
      <w:pPr>
        <w:jc w:val="both"/>
        <w:rPr>
          <w:rFonts w:ascii="Arial" w:hAnsi="Arial" w:cs="Arial"/>
        </w:rPr>
      </w:pPr>
      <w:r w:rsidRPr="00884B1E">
        <w:rPr>
          <w:rFonts w:ascii="Arial" w:hAnsi="Arial" w:cs="Arial"/>
        </w:rPr>
        <w:t xml:space="preserve">  - future satellite missions (from Brewin et al., 2023)</w:t>
      </w:r>
    </w:p>
    <w:p w14:paraId="70E70883" w14:textId="77777777" w:rsidR="00F36179" w:rsidRPr="00884B1E" w:rsidRDefault="00F36179" w:rsidP="00F36179">
      <w:pPr>
        <w:jc w:val="both"/>
        <w:rPr>
          <w:rFonts w:ascii="Arial" w:hAnsi="Arial" w:cs="Arial"/>
        </w:rPr>
      </w:pPr>
      <w:r w:rsidRPr="00884B1E">
        <w:rPr>
          <w:rFonts w:ascii="Arial" w:hAnsi="Arial" w:cs="Arial"/>
        </w:rPr>
        <w:t xml:space="preserve">  - demonstrations (how to use roadmap, or identify importance – from Shutler et al., in-revision)</w:t>
      </w:r>
    </w:p>
    <w:p w14:paraId="6A3E86CB" w14:textId="77777777" w:rsidR="00F36179" w:rsidRPr="00884B1E" w:rsidRDefault="00F36179" w:rsidP="00F36179">
      <w:pPr>
        <w:jc w:val="both"/>
        <w:rPr>
          <w:rFonts w:ascii="Arial" w:hAnsi="Arial" w:cs="Arial"/>
        </w:rPr>
      </w:pPr>
      <w:r w:rsidRPr="00884B1E">
        <w:rPr>
          <w:rFonts w:ascii="Arial" w:hAnsi="Arial" w:cs="Arial"/>
        </w:rPr>
        <w:lastRenderedPageBreak/>
        <w:t xml:space="preserve">  - links to other carbon-based cycles (</w:t>
      </w:r>
      <w:proofErr w:type="gramStart"/>
      <w:r w:rsidRPr="00884B1E">
        <w:rPr>
          <w:rFonts w:ascii="Arial" w:hAnsi="Arial" w:cs="Arial"/>
        </w:rPr>
        <w:t>e.g.</w:t>
      </w:r>
      <w:proofErr w:type="gramEnd"/>
      <w:r w:rsidRPr="00884B1E">
        <w:rPr>
          <w:rFonts w:ascii="Arial" w:hAnsi="Arial" w:cs="Arial"/>
        </w:rPr>
        <w:t xml:space="preserve"> methane).</w:t>
      </w:r>
    </w:p>
    <w:p w14:paraId="7BC607AA" w14:textId="77777777" w:rsidR="00F36179" w:rsidRPr="00884B1E" w:rsidRDefault="00F36179" w:rsidP="00F36179">
      <w:pPr>
        <w:jc w:val="both"/>
        <w:rPr>
          <w:rFonts w:ascii="Arial" w:hAnsi="Arial" w:cs="Arial"/>
        </w:rPr>
      </w:pPr>
      <w:r w:rsidRPr="00884B1E">
        <w:rPr>
          <w:rFonts w:ascii="Arial" w:hAnsi="Arial" w:cs="Arial"/>
        </w:rPr>
        <w:t xml:space="preserve">  - future global </w:t>
      </w:r>
      <w:proofErr w:type="spellStart"/>
      <w:r w:rsidRPr="00884B1E">
        <w:rPr>
          <w:rFonts w:ascii="Arial" w:hAnsi="Arial" w:cs="Arial"/>
        </w:rPr>
        <w:t>stocktakes</w:t>
      </w:r>
      <w:proofErr w:type="spellEnd"/>
      <w:r w:rsidRPr="00884B1E">
        <w:rPr>
          <w:rFonts w:ascii="Arial" w:hAnsi="Arial" w:cs="Arial"/>
        </w:rPr>
        <w:t xml:space="preserve"> and updates</w:t>
      </w:r>
    </w:p>
    <w:p w14:paraId="7720F080" w14:textId="77777777" w:rsidR="00F36179" w:rsidRPr="00884B1E" w:rsidRDefault="00F36179" w:rsidP="00F36179">
      <w:pPr>
        <w:jc w:val="both"/>
        <w:rPr>
          <w:rFonts w:ascii="Arial" w:hAnsi="Arial" w:cs="Arial"/>
        </w:rPr>
      </w:pPr>
    </w:p>
    <w:p w14:paraId="45B7667F" w14:textId="77777777" w:rsidR="00F36179" w:rsidRPr="00884B1E" w:rsidRDefault="00F36179" w:rsidP="00F36179">
      <w:pPr>
        <w:jc w:val="both"/>
        <w:rPr>
          <w:rFonts w:ascii="Arial" w:hAnsi="Arial" w:cs="Arial"/>
        </w:rPr>
      </w:pPr>
      <w:r w:rsidRPr="00884B1E">
        <w:rPr>
          <w:rFonts w:ascii="Arial" w:hAnsi="Arial" w:cs="Arial"/>
        </w:rPr>
        <w:t>9. Summary and next steps</w:t>
      </w:r>
    </w:p>
    <w:p w14:paraId="27E3E3B0" w14:textId="77777777" w:rsidR="00F36179" w:rsidRPr="00884B1E" w:rsidRDefault="00F36179" w:rsidP="00F36179">
      <w:pPr>
        <w:jc w:val="both"/>
        <w:rPr>
          <w:rFonts w:ascii="Arial" w:hAnsi="Arial" w:cs="Arial"/>
        </w:rPr>
      </w:pPr>
    </w:p>
    <w:p w14:paraId="26748DEB" w14:textId="6CA2B0B3" w:rsidR="00F36179" w:rsidRPr="00884B1E" w:rsidRDefault="00F36179" w:rsidP="00F36179">
      <w:pPr>
        <w:jc w:val="both"/>
        <w:rPr>
          <w:rFonts w:ascii="Arial" w:hAnsi="Arial" w:cs="Arial"/>
        </w:rPr>
      </w:pPr>
      <w:r w:rsidRPr="00884B1E">
        <w:rPr>
          <w:rFonts w:ascii="Arial" w:hAnsi="Arial" w:cs="Arial"/>
        </w:rPr>
        <w:t>10. Recommendations coming out of this roadmap.</w:t>
      </w:r>
    </w:p>
    <w:p w14:paraId="78956345" w14:textId="77777777" w:rsidR="00F36179" w:rsidRPr="00884B1E" w:rsidRDefault="00F36179" w:rsidP="00F36179">
      <w:pPr>
        <w:jc w:val="both"/>
        <w:rPr>
          <w:rFonts w:ascii="Arial" w:hAnsi="Arial" w:cs="Arial"/>
        </w:rPr>
      </w:pPr>
    </w:p>
    <w:p w14:paraId="3D4525BE" w14:textId="6E033440" w:rsidR="00F36179" w:rsidRPr="00884B1E" w:rsidRDefault="00F36179" w:rsidP="00F36179">
      <w:pPr>
        <w:pStyle w:val="ListParagraph"/>
        <w:numPr>
          <w:ilvl w:val="0"/>
          <w:numId w:val="1"/>
        </w:numPr>
        <w:jc w:val="both"/>
        <w:rPr>
          <w:rFonts w:ascii="Arial" w:hAnsi="Arial" w:cs="Arial"/>
          <w:b/>
          <w:bCs/>
        </w:rPr>
      </w:pPr>
      <w:r w:rsidRPr="00884B1E">
        <w:rPr>
          <w:rFonts w:ascii="Arial" w:hAnsi="Arial" w:cs="Arial"/>
          <w:b/>
          <w:bCs/>
        </w:rPr>
        <w:t>References</w:t>
      </w:r>
    </w:p>
    <w:p w14:paraId="64590000" w14:textId="728E5E1E" w:rsidR="00F36179" w:rsidRPr="00884B1E" w:rsidRDefault="00F36179" w:rsidP="00F36179">
      <w:pPr>
        <w:jc w:val="both"/>
        <w:rPr>
          <w:rFonts w:ascii="Arial" w:hAnsi="Arial" w:cs="Arial"/>
        </w:rPr>
      </w:pPr>
      <w:r w:rsidRPr="00884B1E">
        <w:rPr>
          <w:rFonts w:ascii="Arial" w:hAnsi="Arial" w:cs="Arial"/>
        </w:rPr>
        <w:t xml:space="preserve">Arico S, Arietta JM, Bakker DCE, Boyd PW, Cotrim da Cunha L, Chai L, Dai F, Gruber N, Isensee K, Ishii N, et al., </w:t>
      </w:r>
      <w:proofErr w:type="gramStart"/>
      <w:r w:rsidRPr="00884B1E">
        <w:rPr>
          <w:rFonts w:ascii="Arial" w:hAnsi="Arial" w:cs="Arial"/>
        </w:rPr>
        <w:t>Integrated ocean</w:t>
      </w:r>
      <w:proofErr w:type="gramEnd"/>
      <w:r w:rsidRPr="00884B1E">
        <w:rPr>
          <w:rFonts w:ascii="Arial" w:hAnsi="Arial" w:cs="Arial"/>
        </w:rPr>
        <w:t xml:space="preserve"> carbon research: a summary of ocean carbon research, and vision of coordinated ocean carbon research and observations for the next decade. UNESCO and the IOC, online, UNESCO, Paris, 45 pages, (2021).</w:t>
      </w:r>
    </w:p>
    <w:p w14:paraId="5664B979" w14:textId="2C52763A" w:rsidR="00F36179" w:rsidRPr="00884B1E" w:rsidRDefault="00F36179" w:rsidP="00F36179">
      <w:pPr>
        <w:jc w:val="both"/>
        <w:rPr>
          <w:rFonts w:ascii="Arial" w:hAnsi="Arial" w:cs="Arial"/>
        </w:rPr>
      </w:pPr>
      <w:r w:rsidRPr="00884B1E">
        <w:rPr>
          <w:rFonts w:ascii="Arial" w:hAnsi="Arial" w:cs="Arial"/>
        </w:rPr>
        <w:t>Brewin et al (2021) Sensing the ocean biological carbon pump from space: a review of capabilities, concepts, research gaps and future developments. Earth-Science Reviews, 217, 103604-103604</w:t>
      </w:r>
    </w:p>
    <w:p w14:paraId="4AB44D1D" w14:textId="5CE73112" w:rsidR="00F36179" w:rsidRPr="00884B1E" w:rsidRDefault="00F36179" w:rsidP="00F36179">
      <w:pPr>
        <w:jc w:val="both"/>
        <w:rPr>
          <w:rFonts w:ascii="Arial" w:hAnsi="Arial" w:cs="Arial"/>
        </w:rPr>
      </w:pPr>
      <w:r w:rsidRPr="00884B1E">
        <w:rPr>
          <w:rFonts w:ascii="Arial" w:hAnsi="Arial" w:cs="Arial"/>
        </w:rPr>
        <w:t xml:space="preserve">Brewin et al (2023) Ocean carbon from space: </w:t>
      </w:r>
      <w:proofErr w:type="gramStart"/>
      <w:r w:rsidRPr="00884B1E">
        <w:rPr>
          <w:rFonts w:ascii="Arial" w:hAnsi="Arial" w:cs="Arial"/>
        </w:rPr>
        <w:t>Current status</w:t>
      </w:r>
      <w:proofErr w:type="gramEnd"/>
      <w:r w:rsidRPr="00884B1E">
        <w:rPr>
          <w:rFonts w:ascii="Arial" w:hAnsi="Arial" w:cs="Arial"/>
        </w:rPr>
        <w:t xml:space="preserve"> and priorities for the next decade. Earth-Science Reviews, 240, 104386-104386</w:t>
      </w:r>
    </w:p>
    <w:p w14:paraId="34721C15" w14:textId="2A0D579F" w:rsidR="00F36179" w:rsidRPr="00884B1E" w:rsidRDefault="00F36179" w:rsidP="00F36179">
      <w:pPr>
        <w:jc w:val="both"/>
        <w:rPr>
          <w:rFonts w:ascii="Arial" w:hAnsi="Arial" w:cs="Arial"/>
        </w:rPr>
      </w:pPr>
      <w:r w:rsidRPr="00884B1E">
        <w:rPr>
          <w:rFonts w:ascii="Arial" w:hAnsi="Arial" w:cs="Arial"/>
        </w:rPr>
        <w:t xml:space="preserve">Le Quéré, C., Andrew, R. M., </w:t>
      </w:r>
      <w:proofErr w:type="spellStart"/>
      <w:r w:rsidRPr="00884B1E">
        <w:rPr>
          <w:rFonts w:ascii="Arial" w:hAnsi="Arial" w:cs="Arial"/>
        </w:rPr>
        <w:t>Canadell</w:t>
      </w:r>
      <w:proofErr w:type="spellEnd"/>
      <w:r w:rsidRPr="00884B1E">
        <w:rPr>
          <w:rFonts w:ascii="Arial" w:hAnsi="Arial" w:cs="Arial"/>
        </w:rPr>
        <w:t xml:space="preserve">, J. G., Sitch, S., Ivar </w:t>
      </w:r>
      <w:proofErr w:type="spellStart"/>
      <w:r w:rsidRPr="00884B1E">
        <w:rPr>
          <w:rFonts w:ascii="Arial" w:hAnsi="Arial" w:cs="Arial"/>
        </w:rPr>
        <w:t>Korsbakken</w:t>
      </w:r>
      <w:proofErr w:type="spellEnd"/>
      <w:r w:rsidRPr="00884B1E">
        <w:rPr>
          <w:rFonts w:ascii="Arial" w:hAnsi="Arial" w:cs="Arial"/>
        </w:rPr>
        <w:t>, J., Peters, G. P., et al. (2016). Global Carbon Budget 2016. Earth Syst. Sci. Data 8, 605–649. doi:10.5194/essd-8-605-2016.</w:t>
      </w:r>
    </w:p>
    <w:p w14:paraId="207F7E19" w14:textId="0440190A" w:rsidR="00F36179" w:rsidRPr="00884B1E" w:rsidRDefault="00F36179" w:rsidP="00F36179">
      <w:pPr>
        <w:jc w:val="both"/>
        <w:rPr>
          <w:rFonts w:ascii="Arial" w:hAnsi="Arial" w:cs="Arial"/>
        </w:rPr>
      </w:pPr>
      <w:proofErr w:type="spellStart"/>
      <w:r w:rsidRPr="00884B1E">
        <w:rPr>
          <w:rFonts w:ascii="Arial" w:hAnsi="Arial" w:cs="Arial"/>
        </w:rPr>
        <w:t>Resplandy</w:t>
      </w:r>
      <w:proofErr w:type="spellEnd"/>
      <w:r w:rsidRPr="00884B1E">
        <w:rPr>
          <w:rFonts w:ascii="Arial" w:hAnsi="Arial" w:cs="Arial"/>
        </w:rPr>
        <w:t xml:space="preserve">, L., Keeling, R. F., </w:t>
      </w:r>
      <w:proofErr w:type="spellStart"/>
      <w:r w:rsidRPr="00884B1E">
        <w:rPr>
          <w:rFonts w:ascii="Arial" w:hAnsi="Arial" w:cs="Arial"/>
        </w:rPr>
        <w:t>Rödenbeck</w:t>
      </w:r>
      <w:proofErr w:type="spellEnd"/>
      <w:r w:rsidRPr="00884B1E">
        <w:rPr>
          <w:rFonts w:ascii="Arial" w:hAnsi="Arial" w:cs="Arial"/>
        </w:rPr>
        <w:t xml:space="preserve">, C., Stephens, B. B., </w:t>
      </w:r>
      <w:proofErr w:type="spellStart"/>
      <w:r w:rsidRPr="00884B1E">
        <w:rPr>
          <w:rFonts w:ascii="Arial" w:hAnsi="Arial" w:cs="Arial"/>
        </w:rPr>
        <w:t>Khatiwala</w:t>
      </w:r>
      <w:proofErr w:type="spellEnd"/>
      <w:r w:rsidRPr="00884B1E">
        <w:rPr>
          <w:rFonts w:ascii="Arial" w:hAnsi="Arial" w:cs="Arial"/>
        </w:rPr>
        <w:t xml:space="preserve">, S., Rodgers, K. B., et al. (2018). Revision of global carbon fluxes based on a reassessment of oceanic and riverine carbon transport. Nat. </w:t>
      </w:r>
      <w:proofErr w:type="spellStart"/>
      <w:r w:rsidRPr="00884B1E">
        <w:rPr>
          <w:rFonts w:ascii="Arial" w:hAnsi="Arial" w:cs="Arial"/>
        </w:rPr>
        <w:t>Geosci</w:t>
      </w:r>
      <w:proofErr w:type="spellEnd"/>
      <w:r w:rsidRPr="00884B1E">
        <w:rPr>
          <w:rFonts w:ascii="Arial" w:hAnsi="Arial" w:cs="Arial"/>
        </w:rPr>
        <w:t>. 11, 504–509. doi:10.1038/s41561-018-0151-3.</w:t>
      </w:r>
    </w:p>
    <w:p w14:paraId="09C5597E" w14:textId="14510BD8" w:rsidR="00F36179" w:rsidRPr="00884B1E" w:rsidRDefault="00F36179" w:rsidP="00F36179">
      <w:pPr>
        <w:jc w:val="both"/>
        <w:rPr>
          <w:rFonts w:ascii="Arial" w:hAnsi="Arial" w:cs="Arial"/>
        </w:rPr>
      </w:pPr>
      <w:r w:rsidRPr="00884B1E">
        <w:rPr>
          <w:rFonts w:ascii="Arial" w:hAnsi="Arial" w:cs="Arial"/>
        </w:rPr>
        <w:t>Shutler et al (in-revision) The increasing importance of satellite observations to assess the ocean carbons sink and ocean acidification, Earth-Science Reviews</w:t>
      </w:r>
    </w:p>
    <w:p w14:paraId="2D48B41C" w14:textId="7306E8AC" w:rsidR="00F36179" w:rsidRPr="00F36179" w:rsidRDefault="00F36179" w:rsidP="00F36179">
      <w:pPr>
        <w:jc w:val="both"/>
      </w:pPr>
      <w:r w:rsidRPr="00884B1E">
        <w:rPr>
          <w:rFonts w:ascii="Arial" w:hAnsi="Arial" w:cs="Arial"/>
        </w:rPr>
        <w:t>Shutler et al. (2020) Satellites will address critical science priorities for quantifying ocean carbon. Frontiers in Ecology and the Environment, 18(1), 27-35</w:t>
      </w:r>
    </w:p>
    <w:sectPr w:rsidR="00F36179" w:rsidRPr="00F36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CD6D" w14:textId="77777777" w:rsidR="0038442F" w:rsidRDefault="0038442F" w:rsidP="0038442F">
      <w:pPr>
        <w:spacing w:after="0" w:line="240" w:lineRule="auto"/>
      </w:pPr>
      <w:r>
        <w:separator/>
      </w:r>
    </w:p>
  </w:endnote>
  <w:endnote w:type="continuationSeparator" w:id="0">
    <w:p w14:paraId="6DC9CAC8" w14:textId="77777777" w:rsidR="0038442F" w:rsidRDefault="0038442F" w:rsidP="0038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D732" w14:textId="77777777" w:rsidR="0038442F" w:rsidRDefault="0038442F" w:rsidP="0038442F">
      <w:pPr>
        <w:spacing w:after="0" w:line="240" w:lineRule="auto"/>
      </w:pPr>
      <w:r>
        <w:separator/>
      </w:r>
    </w:p>
  </w:footnote>
  <w:footnote w:type="continuationSeparator" w:id="0">
    <w:p w14:paraId="7D012991" w14:textId="77777777" w:rsidR="0038442F" w:rsidRDefault="0038442F" w:rsidP="00384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6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53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B00627"/>
    <w:multiLevelType w:val="hybridMultilevel"/>
    <w:tmpl w:val="776839D6"/>
    <w:lvl w:ilvl="0" w:tplc="50B81522">
      <w:start w:val="1"/>
      <w:numFmt w:val="bullet"/>
      <w:lvlText w:val=""/>
      <w:lvlJc w:val="left"/>
      <w:pPr>
        <w:tabs>
          <w:tab w:val="num" w:pos="720"/>
        </w:tabs>
        <w:ind w:left="720" w:hanging="360"/>
      </w:pPr>
      <w:rPr>
        <w:rFonts w:ascii="Wingdings" w:hAnsi="Wingdings" w:hint="default"/>
      </w:rPr>
    </w:lvl>
    <w:lvl w:ilvl="1" w:tplc="1D580338" w:tentative="1">
      <w:start w:val="1"/>
      <w:numFmt w:val="bullet"/>
      <w:lvlText w:val=""/>
      <w:lvlJc w:val="left"/>
      <w:pPr>
        <w:tabs>
          <w:tab w:val="num" w:pos="1440"/>
        </w:tabs>
        <w:ind w:left="1440" w:hanging="360"/>
      </w:pPr>
      <w:rPr>
        <w:rFonts w:ascii="Wingdings" w:hAnsi="Wingdings" w:hint="default"/>
      </w:rPr>
    </w:lvl>
    <w:lvl w:ilvl="2" w:tplc="B45EE658" w:tentative="1">
      <w:start w:val="1"/>
      <w:numFmt w:val="bullet"/>
      <w:lvlText w:val=""/>
      <w:lvlJc w:val="left"/>
      <w:pPr>
        <w:tabs>
          <w:tab w:val="num" w:pos="2160"/>
        </w:tabs>
        <w:ind w:left="2160" w:hanging="360"/>
      </w:pPr>
      <w:rPr>
        <w:rFonts w:ascii="Wingdings" w:hAnsi="Wingdings" w:hint="default"/>
      </w:rPr>
    </w:lvl>
    <w:lvl w:ilvl="3" w:tplc="40B0F424" w:tentative="1">
      <w:start w:val="1"/>
      <w:numFmt w:val="bullet"/>
      <w:lvlText w:val=""/>
      <w:lvlJc w:val="left"/>
      <w:pPr>
        <w:tabs>
          <w:tab w:val="num" w:pos="2880"/>
        </w:tabs>
        <w:ind w:left="2880" w:hanging="360"/>
      </w:pPr>
      <w:rPr>
        <w:rFonts w:ascii="Wingdings" w:hAnsi="Wingdings" w:hint="default"/>
      </w:rPr>
    </w:lvl>
    <w:lvl w:ilvl="4" w:tplc="CD16674E">
      <w:numFmt w:val="bullet"/>
      <w:lvlText w:val="o"/>
      <w:lvlJc w:val="left"/>
      <w:pPr>
        <w:tabs>
          <w:tab w:val="num" w:pos="3600"/>
        </w:tabs>
        <w:ind w:left="3600" w:hanging="360"/>
      </w:pPr>
      <w:rPr>
        <w:rFonts w:ascii="Courier New" w:hAnsi="Courier New" w:hint="default"/>
      </w:rPr>
    </w:lvl>
    <w:lvl w:ilvl="5" w:tplc="A3E04AFA" w:tentative="1">
      <w:start w:val="1"/>
      <w:numFmt w:val="bullet"/>
      <w:lvlText w:val=""/>
      <w:lvlJc w:val="left"/>
      <w:pPr>
        <w:tabs>
          <w:tab w:val="num" w:pos="4320"/>
        </w:tabs>
        <w:ind w:left="4320" w:hanging="360"/>
      </w:pPr>
      <w:rPr>
        <w:rFonts w:ascii="Wingdings" w:hAnsi="Wingdings" w:hint="default"/>
      </w:rPr>
    </w:lvl>
    <w:lvl w:ilvl="6" w:tplc="CD64F904" w:tentative="1">
      <w:start w:val="1"/>
      <w:numFmt w:val="bullet"/>
      <w:lvlText w:val=""/>
      <w:lvlJc w:val="left"/>
      <w:pPr>
        <w:tabs>
          <w:tab w:val="num" w:pos="5040"/>
        </w:tabs>
        <w:ind w:left="5040" w:hanging="360"/>
      </w:pPr>
      <w:rPr>
        <w:rFonts w:ascii="Wingdings" w:hAnsi="Wingdings" w:hint="default"/>
      </w:rPr>
    </w:lvl>
    <w:lvl w:ilvl="7" w:tplc="9F60B8D2" w:tentative="1">
      <w:start w:val="1"/>
      <w:numFmt w:val="bullet"/>
      <w:lvlText w:val=""/>
      <w:lvlJc w:val="left"/>
      <w:pPr>
        <w:tabs>
          <w:tab w:val="num" w:pos="5760"/>
        </w:tabs>
        <w:ind w:left="5760" w:hanging="360"/>
      </w:pPr>
      <w:rPr>
        <w:rFonts w:ascii="Wingdings" w:hAnsi="Wingdings" w:hint="default"/>
      </w:rPr>
    </w:lvl>
    <w:lvl w:ilvl="8" w:tplc="CF988F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30C0E"/>
    <w:multiLevelType w:val="hybridMultilevel"/>
    <w:tmpl w:val="5D7A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D3E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84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761769"/>
    <w:multiLevelType w:val="hybridMultilevel"/>
    <w:tmpl w:val="7EAA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18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C2643A"/>
    <w:multiLevelType w:val="hybridMultilevel"/>
    <w:tmpl w:val="7F1498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5F7E"/>
    <w:multiLevelType w:val="hybridMultilevel"/>
    <w:tmpl w:val="645690D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371F3"/>
    <w:multiLevelType w:val="hybridMultilevel"/>
    <w:tmpl w:val="6D387CEC"/>
    <w:lvl w:ilvl="0" w:tplc="F2D470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23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D05EB6"/>
    <w:multiLevelType w:val="hybridMultilevel"/>
    <w:tmpl w:val="3C063FE6"/>
    <w:lvl w:ilvl="0" w:tplc="04090001">
      <w:start w:val="1"/>
      <w:numFmt w:val="bullet"/>
      <w:lvlText w:val=""/>
      <w:lvlJc w:val="left"/>
      <w:pPr>
        <w:ind w:left="720" w:hanging="360"/>
      </w:pPr>
      <w:rPr>
        <w:rFonts w:ascii="Symbol" w:hAnsi="Symbol" w:hint="default"/>
      </w:rPr>
    </w:lvl>
    <w:lvl w:ilvl="1" w:tplc="C5587E7A">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027A7B"/>
    <w:multiLevelType w:val="hybridMultilevel"/>
    <w:tmpl w:val="C4847AF8"/>
    <w:lvl w:ilvl="0" w:tplc="EABCD1A8">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40761"/>
    <w:multiLevelType w:val="hybridMultilevel"/>
    <w:tmpl w:val="8ED64D18"/>
    <w:lvl w:ilvl="0" w:tplc="50B81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C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5F3BF6"/>
    <w:multiLevelType w:val="hybridMultilevel"/>
    <w:tmpl w:val="FE04639C"/>
    <w:lvl w:ilvl="0" w:tplc="E988CCB6">
      <w:start w:val="1"/>
      <w:numFmt w:val="bullet"/>
      <w:lvlText w:val=""/>
      <w:lvlJc w:val="left"/>
      <w:pPr>
        <w:tabs>
          <w:tab w:val="num" w:pos="720"/>
        </w:tabs>
        <w:ind w:left="720" w:hanging="360"/>
      </w:pPr>
      <w:rPr>
        <w:rFonts w:ascii="Wingdings" w:hAnsi="Wingdings" w:hint="default"/>
      </w:rPr>
    </w:lvl>
    <w:lvl w:ilvl="1" w:tplc="D5E2F602" w:tentative="1">
      <w:start w:val="1"/>
      <w:numFmt w:val="bullet"/>
      <w:lvlText w:val=""/>
      <w:lvlJc w:val="left"/>
      <w:pPr>
        <w:tabs>
          <w:tab w:val="num" w:pos="1440"/>
        </w:tabs>
        <w:ind w:left="1440" w:hanging="360"/>
      </w:pPr>
      <w:rPr>
        <w:rFonts w:ascii="Wingdings" w:hAnsi="Wingdings" w:hint="default"/>
      </w:rPr>
    </w:lvl>
    <w:lvl w:ilvl="2" w:tplc="4EDA9962" w:tentative="1">
      <w:start w:val="1"/>
      <w:numFmt w:val="bullet"/>
      <w:lvlText w:val=""/>
      <w:lvlJc w:val="left"/>
      <w:pPr>
        <w:tabs>
          <w:tab w:val="num" w:pos="2160"/>
        </w:tabs>
        <w:ind w:left="2160" w:hanging="360"/>
      </w:pPr>
      <w:rPr>
        <w:rFonts w:ascii="Wingdings" w:hAnsi="Wingdings" w:hint="default"/>
      </w:rPr>
    </w:lvl>
    <w:lvl w:ilvl="3" w:tplc="B184BEC8" w:tentative="1">
      <w:start w:val="1"/>
      <w:numFmt w:val="bullet"/>
      <w:lvlText w:val=""/>
      <w:lvlJc w:val="left"/>
      <w:pPr>
        <w:tabs>
          <w:tab w:val="num" w:pos="2880"/>
        </w:tabs>
        <w:ind w:left="2880" w:hanging="360"/>
      </w:pPr>
      <w:rPr>
        <w:rFonts w:ascii="Wingdings" w:hAnsi="Wingdings" w:hint="default"/>
      </w:rPr>
    </w:lvl>
    <w:lvl w:ilvl="4" w:tplc="856886BE" w:tentative="1">
      <w:start w:val="1"/>
      <w:numFmt w:val="bullet"/>
      <w:lvlText w:val=""/>
      <w:lvlJc w:val="left"/>
      <w:pPr>
        <w:tabs>
          <w:tab w:val="num" w:pos="3600"/>
        </w:tabs>
        <w:ind w:left="3600" w:hanging="360"/>
      </w:pPr>
      <w:rPr>
        <w:rFonts w:ascii="Wingdings" w:hAnsi="Wingdings" w:hint="default"/>
      </w:rPr>
    </w:lvl>
    <w:lvl w:ilvl="5" w:tplc="B5DE7F42" w:tentative="1">
      <w:start w:val="1"/>
      <w:numFmt w:val="bullet"/>
      <w:lvlText w:val=""/>
      <w:lvlJc w:val="left"/>
      <w:pPr>
        <w:tabs>
          <w:tab w:val="num" w:pos="4320"/>
        </w:tabs>
        <w:ind w:left="4320" w:hanging="360"/>
      </w:pPr>
      <w:rPr>
        <w:rFonts w:ascii="Wingdings" w:hAnsi="Wingdings" w:hint="default"/>
      </w:rPr>
    </w:lvl>
    <w:lvl w:ilvl="6" w:tplc="6E0E669A" w:tentative="1">
      <w:start w:val="1"/>
      <w:numFmt w:val="bullet"/>
      <w:lvlText w:val=""/>
      <w:lvlJc w:val="left"/>
      <w:pPr>
        <w:tabs>
          <w:tab w:val="num" w:pos="5040"/>
        </w:tabs>
        <w:ind w:left="5040" w:hanging="360"/>
      </w:pPr>
      <w:rPr>
        <w:rFonts w:ascii="Wingdings" w:hAnsi="Wingdings" w:hint="default"/>
      </w:rPr>
    </w:lvl>
    <w:lvl w:ilvl="7" w:tplc="7C38DD74" w:tentative="1">
      <w:start w:val="1"/>
      <w:numFmt w:val="bullet"/>
      <w:lvlText w:val=""/>
      <w:lvlJc w:val="left"/>
      <w:pPr>
        <w:tabs>
          <w:tab w:val="num" w:pos="5760"/>
        </w:tabs>
        <w:ind w:left="5760" w:hanging="360"/>
      </w:pPr>
      <w:rPr>
        <w:rFonts w:ascii="Wingdings" w:hAnsi="Wingdings" w:hint="default"/>
      </w:rPr>
    </w:lvl>
    <w:lvl w:ilvl="8" w:tplc="5F360D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C08EE"/>
    <w:multiLevelType w:val="multilevel"/>
    <w:tmpl w:val="9484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25E59"/>
    <w:multiLevelType w:val="hybridMultilevel"/>
    <w:tmpl w:val="B01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10803"/>
    <w:multiLevelType w:val="hybridMultilevel"/>
    <w:tmpl w:val="F376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97394">
    <w:abstractNumId w:val="1"/>
  </w:num>
  <w:num w:numId="2" w16cid:durableId="429937167">
    <w:abstractNumId w:val="7"/>
  </w:num>
  <w:num w:numId="3" w16cid:durableId="865600851">
    <w:abstractNumId w:val="0"/>
  </w:num>
  <w:num w:numId="4" w16cid:durableId="778992705">
    <w:abstractNumId w:val="4"/>
  </w:num>
  <w:num w:numId="5" w16cid:durableId="476725644">
    <w:abstractNumId w:val="11"/>
  </w:num>
  <w:num w:numId="6" w16cid:durableId="1538742353">
    <w:abstractNumId w:val="15"/>
  </w:num>
  <w:num w:numId="7" w16cid:durableId="2099670718">
    <w:abstractNumId w:val="5"/>
  </w:num>
  <w:num w:numId="8" w16cid:durableId="600260881">
    <w:abstractNumId w:val="13"/>
  </w:num>
  <w:num w:numId="9" w16cid:durableId="488251161">
    <w:abstractNumId w:val="17"/>
  </w:num>
  <w:num w:numId="10" w16cid:durableId="1822965446">
    <w:abstractNumId w:val="8"/>
  </w:num>
  <w:num w:numId="11" w16cid:durableId="226578533">
    <w:abstractNumId w:val="2"/>
  </w:num>
  <w:num w:numId="12" w16cid:durableId="1160847161">
    <w:abstractNumId w:val="10"/>
  </w:num>
  <w:num w:numId="13" w16cid:durableId="1986548082">
    <w:abstractNumId w:val="16"/>
  </w:num>
  <w:num w:numId="14" w16cid:durableId="383991383">
    <w:abstractNumId w:val="14"/>
  </w:num>
  <w:num w:numId="15" w16cid:durableId="705787444">
    <w:abstractNumId w:val="12"/>
  </w:num>
  <w:num w:numId="16" w16cid:durableId="1662372">
    <w:abstractNumId w:val="6"/>
  </w:num>
  <w:num w:numId="17" w16cid:durableId="226653628">
    <w:abstractNumId w:val="3"/>
  </w:num>
  <w:num w:numId="18" w16cid:durableId="35858500">
    <w:abstractNumId w:val="19"/>
  </w:num>
  <w:num w:numId="19" w16cid:durableId="1864585236">
    <w:abstractNumId w:val="18"/>
  </w:num>
  <w:num w:numId="20" w16cid:durableId="823741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D8"/>
    <w:rsid w:val="00024CDA"/>
    <w:rsid w:val="00071145"/>
    <w:rsid w:val="00091C20"/>
    <w:rsid w:val="000F131D"/>
    <w:rsid w:val="00146D5C"/>
    <w:rsid w:val="0017068A"/>
    <w:rsid w:val="001C236B"/>
    <w:rsid w:val="0021061C"/>
    <w:rsid w:val="002314C6"/>
    <w:rsid w:val="00250C2B"/>
    <w:rsid w:val="002C1D3D"/>
    <w:rsid w:val="002E2D95"/>
    <w:rsid w:val="003237C7"/>
    <w:rsid w:val="0036050F"/>
    <w:rsid w:val="0038442F"/>
    <w:rsid w:val="003A0361"/>
    <w:rsid w:val="00416EBD"/>
    <w:rsid w:val="00417D59"/>
    <w:rsid w:val="00484A4B"/>
    <w:rsid w:val="004D5478"/>
    <w:rsid w:val="004E3113"/>
    <w:rsid w:val="005076A0"/>
    <w:rsid w:val="005B3E99"/>
    <w:rsid w:val="006968E6"/>
    <w:rsid w:val="006E346A"/>
    <w:rsid w:val="00716E01"/>
    <w:rsid w:val="00722042"/>
    <w:rsid w:val="007636AB"/>
    <w:rsid w:val="00795340"/>
    <w:rsid w:val="007A2CBA"/>
    <w:rsid w:val="00854D72"/>
    <w:rsid w:val="00884B1E"/>
    <w:rsid w:val="008E0BEC"/>
    <w:rsid w:val="009557D8"/>
    <w:rsid w:val="00A07B4E"/>
    <w:rsid w:val="00A160B1"/>
    <w:rsid w:val="00A56AB3"/>
    <w:rsid w:val="00A72710"/>
    <w:rsid w:val="00B263F1"/>
    <w:rsid w:val="00BA0BF1"/>
    <w:rsid w:val="00C7592F"/>
    <w:rsid w:val="00D75D96"/>
    <w:rsid w:val="00D87D4D"/>
    <w:rsid w:val="00E43A6F"/>
    <w:rsid w:val="00E54EBE"/>
    <w:rsid w:val="00EE6605"/>
    <w:rsid w:val="00F36179"/>
    <w:rsid w:val="00F6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A0A3"/>
  <w15:chartTrackingRefBased/>
  <w15:docId w15:val="{D77BEC19-A520-4886-A673-61311CF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5478"/>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68E6"/>
    <w:rPr>
      <w:sz w:val="16"/>
      <w:szCs w:val="16"/>
    </w:rPr>
  </w:style>
  <w:style w:type="paragraph" w:styleId="ListParagraph">
    <w:name w:val="List Paragraph"/>
    <w:basedOn w:val="Normal"/>
    <w:uiPriority w:val="34"/>
    <w:qFormat/>
    <w:rsid w:val="006968E6"/>
    <w:pPr>
      <w:ind w:left="720"/>
      <w:contextualSpacing/>
    </w:pPr>
  </w:style>
  <w:style w:type="character" w:styleId="Hyperlink">
    <w:name w:val="Hyperlink"/>
    <w:basedOn w:val="DefaultParagraphFont"/>
    <w:uiPriority w:val="99"/>
    <w:unhideWhenUsed/>
    <w:rsid w:val="005B3E99"/>
    <w:rPr>
      <w:color w:val="0563C1" w:themeColor="hyperlink"/>
      <w:u w:val="single"/>
    </w:rPr>
  </w:style>
  <w:style w:type="character" w:styleId="UnresolvedMention">
    <w:name w:val="Unresolved Mention"/>
    <w:basedOn w:val="DefaultParagraphFont"/>
    <w:uiPriority w:val="99"/>
    <w:semiHidden/>
    <w:unhideWhenUsed/>
    <w:rsid w:val="005B3E99"/>
    <w:rPr>
      <w:color w:val="605E5C"/>
      <w:shd w:val="clear" w:color="auto" w:fill="E1DFDD"/>
    </w:rPr>
  </w:style>
  <w:style w:type="paragraph" w:styleId="CommentText">
    <w:name w:val="annotation text"/>
    <w:basedOn w:val="Normal"/>
    <w:link w:val="CommentTextChar"/>
    <w:uiPriority w:val="99"/>
    <w:unhideWhenUsed/>
    <w:rsid w:val="007636AB"/>
    <w:pPr>
      <w:spacing w:line="240" w:lineRule="auto"/>
    </w:pPr>
    <w:rPr>
      <w:sz w:val="20"/>
      <w:szCs w:val="20"/>
    </w:rPr>
  </w:style>
  <w:style w:type="character" w:customStyle="1" w:styleId="CommentTextChar">
    <w:name w:val="Comment Text Char"/>
    <w:basedOn w:val="DefaultParagraphFont"/>
    <w:link w:val="CommentText"/>
    <w:uiPriority w:val="99"/>
    <w:rsid w:val="007636AB"/>
    <w:rPr>
      <w:sz w:val="20"/>
      <w:szCs w:val="20"/>
    </w:rPr>
  </w:style>
  <w:style w:type="paragraph" w:styleId="CommentSubject">
    <w:name w:val="annotation subject"/>
    <w:basedOn w:val="CommentText"/>
    <w:next w:val="CommentText"/>
    <w:link w:val="CommentSubjectChar"/>
    <w:uiPriority w:val="99"/>
    <w:semiHidden/>
    <w:unhideWhenUsed/>
    <w:rsid w:val="007636AB"/>
    <w:rPr>
      <w:b/>
      <w:bCs/>
    </w:rPr>
  </w:style>
  <w:style w:type="character" w:customStyle="1" w:styleId="CommentSubjectChar">
    <w:name w:val="Comment Subject Char"/>
    <w:basedOn w:val="CommentTextChar"/>
    <w:link w:val="CommentSubject"/>
    <w:uiPriority w:val="99"/>
    <w:semiHidden/>
    <w:rsid w:val="007636AB"/>
    <w:rPr>
      <w:b/>
      <w:bCs/>
      <w:sz w:val="20"/>
      <w:szCs w:val="20"/>
    </w:rPr>
  </w:style>
  <w:style w:type="paragraph" w:customStyle="1" w:styleId="pf1">
    <w:name w:val="pf1"/>
    <w:basedOn w:val="Normal"/>
    <w:rsid w:val="007636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f0">
    <w:name w:val="pf0"/>
    <w:basedOn w:val="Normal"/>
    <w:rsid w:val="007636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7636AB"/>
    <w:rPr>
      <w:rFonts w:ascii="Segoe UI" w:hAnsi="Segoe UI" w:cs="Segoe UI" w:hint="default"/>
      <w:color w:val="999999"/>
      <w:sz w:val="18"/>
      <w:szCs w:val="18"/>
    </w:rPr>
  </w:style>
  <w:style w:type="character" w:customStyle="1" w:styleId="cf21">
    <w:name w:val="cf21"/>
    <w:basedOn w:val="DefaultParagraphFont"/>
    <w:rsid w:val="007636AB"/>
    <w:rPr>
      <w:rFonts w:ascii="Segoe UI" w:hAnsi="Segoe UI" w:cs="Segoe UI" w:hint="default"/>
      <w:sz w:val="18"/>
      <w:szCs w:val="18"/>
    </w:rPr>
  </w:style>
  <w:style w:type="character" w:styleId="FollowedHyperlink">
    <w:name w:val="FollowedHyperlink"/>
    <w:basedOn w:val="DefaultParagraphFont"/>
    <w:uiPriority w:val="99"/>
    <w:semiHidden/>
    <w:unhideWhenUsed/>
    <w:rsid w:val="00A160B1"/>
    <w:rPr>
      <w:color w:val="954F72" w:themeColor="followedHyperlink"/>
      <w:u w:val="single"/>
    </w:rPr>
  </w:style>
  <w:style w:type="paragraph" w:styleId="BalloonText">
    <w:name w:val="Balloon Text"/>
    <w:basedOn w:val="Normal"/>
    <w:link w:val="BalloonTextChar"/>
    <w:uiPriority w:val="99"/>
    <w:semiHidden/>
    <w:unhideWhenUsed/>
    <w:rsid w:val="004D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78"/>
    <w:rPr>
      <w:rFonts w:ascii="Segoe UI" w:hAnsi="Segoe UI" w:cs="Segoe UI"/>
      <w:sz w:val="18"/>
      <w:szCs w:val="18"/>
    </w:rPr>
  </w:style>
  <w:style w:type="character" w:customStyle="1" w:styleId="Heading1Char">
    <w:name w:val="Heading 1 Char"/>
    <w:basedOn w:val="DefaultParagraphFont"/>
    <w:link w:val="Heading1"/>
    <w:uiPriority w:val="9"/>
    <w:rsid w:val="004D5478"/>
    <w:rPr>
      <w:rFonts w:ascii="Times New Roman" w:eastAsia="Times New Roman" w:hAnsi="Times New Roman" w:cs="Times New Roman"/>
      <w:b/>
      <w:bCs/>
      <w:kern w:val="36"/>
      <w:sz w:val="48"/>
      <w:szCs w:val="48"/>
      <w:lang w:val="fr-FR" w:eastAsia="fr-FR"/>
      <w14:ligatures w14:val="none"/>
    </w:rPr>
  </w:style>
  <w:style w:type="paragraph" w:styleId="Revision">
    <w:name w:val="Revision"/>
    <w:hidden/>
    <w:uiPriority w:val="99"/>
    <w:semiHidden/>
    <w:rsid w:val="004E3113"/>
    <w:pPr>
      <w:spacing w:after="0" w:line="240" w:lineRule="auto"/>
    </w:pPr>
  </w:style>
  <w:style w:type="paragraph" w:styleId="Header">
    <w:name w:val="header"/>
    <w:basedOn w:val="Normal"/>
    <w:link w:val="HeaderChar"/>
    <w:uiPriority w:val="99"/>
    <w:unhideWhenUsed/>
    <w:rsid w:val="00384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2F"/>
  </w:style>
  <w:style w:type="paragraph" w:styleId="Footer">
    <w:name w:val="footer"/>
    <w:basedOn w:val="Normal"/>
    <w:link w:val="FooterChar"/>
    <w:uiPriority w:val="99"/>
    <w:unhideWhenUsed/>
    <w:rsid w:val="00384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733">
      <w:bodyDiv w:val="1"/>
      <w:marLeft w:val="0"/>
      <w:marRight w:val="0"/>
      <w:marTop w:val="0"/>
      <w:marBottom w:val="0"/>
      <w:divBdr>
        <w:top w:val="none" w:sz="0" w:space="0" w:color="auto"/>
        <w:left w:val="none" w:sz="0" w:space="0" w:color="auto"/>
        <w:bottom w:val="none" w:sz="0" w:space="0" w:color="auto"/>
        <w:right w:val="none" w:sz="0" w:space="0" w:color="auto"/>
      </w:divBdr>
      <w:divsChild>
        <w:div w:id="533006620">
          <w:marLeft w:val="446"/>
          <w:marRight w:val="0"/>
          <w:marTop w:val="0"/>
          <w:marBottom w:val="0"/>
          <w:divBdr>
            <w:top w:val="none" w:sz="0" w:space="0" w:color="auto"/>
            <w:left w:val="none" w:sz="0" w:space="0" w:color="auto"/>
            <w:bottom w:val="none" w:sz="0" w:space="0" w:color="auto"/>
            <w:right w:val="none" w:sz="0" w:space="0" w:color="auto"/>
          </w:divBdr>
        </w:div>
      </w:divsChild>
    </w:div>
    <w:div w:id="203104138">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8">
          <w:marLeft w:val="547"/>
          <w:marRight w:val="0"/>
          <w:marTop w:val="0"/>
          <w:marBottom w:val="0"/>
          <w:divBdr>
            <w:top w:val="none" w:sz="0" w:space="0" w:color="auto"/>
            <w:left w:val="none" w:sz="0" w:space="0" w:color="auto"/>
            <w:bottom w:val="none" w:sz="0" w:space="0" w:color="auto"/>
            <w:right w:val="none" w:sz="0" w:space="0" w:color="auto"/>
          </w:divBdr>
        </w:div>
        <w:div w:id="1568684021">
          <w:marLeft w:val="547"/>
          <w:marRight w:val="0"/>
          <w:marTop w:val="0"/>
          <w:marBottom w:val="0"/>
          <w:divBdr>
            <w:top w:val="none" w:sz="0" w:space="0" w:color="auto"/>
            <w:left w:val="none" w:sz="0" w:space="0" w:color="auto"/>
            <w:bottom w:val="none" w:sz="0" w:space="0" w:color="auto"/>
            <w:right w:val="none" w:sz="0" w:space="0" w:color="auto"/>
          </w:divBdr>
        </w:div>
        <w:div w:id="505093274">
          <w:marLeft w:val="547"/>
          <w:marRight w:val="0"/>
          <w:marTop w:val="0"/>
          <w:marBottom w:val="0"/>
          <w:divBdr>
            <w:top w:val="none" w:sz="0" w:space="0" w:color="auto"/>
            <w:left w:val="none" w:sz="0" w:space="0" w:color="auto"/>
            <w:bottom w:val="none" w:sz="0" w:space="0" w:color="auto"/>
            <w:right w:val="none" w:sz="0" w:space="0" w:color="auto"/>
          </w:divBdr>
        </w:div>
        <w:div w:id="873662316">
          <w:marLeft w:val="547"/>
          <w:marRight w:val="0"/>
          <w:marTop w:val="0"/>
          <w:marBottom w:val="0"/>
          <w:divBdr>
            <w:top w:val="none" w:sz="0" w:space="0" w:color="auto"/>
            <w:left w:val="none" w:sz="0" w:space="0" w:color="auto"/>
            <w:bottom w:val="none" w:sz="0" w:space="0" w:color="auto"/>
            <w:right w:val="none" w:sz="0" w:space="0" w:color="auto"/>
          </w:divBdr>
        </w:div>
        <w:div w:id="1031297544">
          <w:marLeft w:val="547"/>
          <w:marRight w:val="0"/>
          <w:marTop w:val="0"/>
          <w:marBottom w:val="0"/>
          <w:divBdr>
            <w:top w:val="none" w:sz="0" w:space="0" w:color="auto"/>
            <w:left w:val="none" w:sz="0" w:space="0" w:color="auto"/>
            <w:bottom w:val="none" w:sz="0" w:space="0" w:color="auto"/>
            <w:right w:val="none" w:sz="0" w:space="0" w:color="auto"/>
          </w:divBdr>
        </w:div>
        <w:div w:id="1615600109">
          <w:marLeft w:val="547"/>
          <w:marRight w:val="0"/>
          <w:marTop w:val="0"/>
          <w:marBottom w:val="0"/>
          <w:divBdr>
            <w:top w:val="none" w:sz="0" w:space="0" w:color="auto"/>
            <w:left w:val="none" w:sz="0" w:space="0" w:color="auto"/>
            <w:bottom w:val="none" w:sz="0" w:space="0" w:color="auto"/>
            <w:right w:val="none" w:sz="0" w:space="0" w:color="auto"/>
          </w:divBdr>
        </w:div>
        <w:div w:id="732387468">
          <w:marLeft w:val="547"/>
          <w:marRight w:val="0"/>
          <w:marTop w:val="0"/>
          <w:marBottom w:val="0"/>
          <w:divBdr>
            <w:top w:val="none" w:sz="0" w:space="0" w:color="auto"/>
            <w:left w:val="none" w:sz="0" w:space="0" w:color="auto"/>
            <w:bottom w:val="none" w:sz="0" w:space="0" w:color="auto"/>
            <w:right w:val="none" w:sz="0" w:space="0" w:color="auto"/>
          </w:divBdr>
        </w:div>
      </w:divsChild>
    </w:div>
    <w:div w:id="1033768867">
      <w:bodyDiv w:val="1"/>
      <w:marLeft w:val="0"/>
      <w:marRight w:val="0"/>
      <w:marTop w:val="0"/>
      <w:marBottom w:val="0"/>
      <w:divBdr>
        <w:top w:val="none" w:sz="0" w:space="0" w:color="auto"/>
        <w:left w:val="none" w:sz="0" w:space="0" w:color="auto"/>
        <w:bottom w:val="none" w:sz="0" w:space="0" w:color="auto"/>
        <w:right w:val="none" w:sz="0" w:space="0" w:color="auto"/>
      </w:divBdr>
    </w:div>
    <w:div w:id="1510873943">
      <w:bodyDiv w:val="1"/>
      <w:marLeft w:val="0"/>
      <w:marRight w:val="0"/>
      <w:marTop w:val="0"/>
      <w:marBottom w:val="0"/>
      <w:divBdr>
        <w:top w:val="none" w:sz="0" w:space="0" w:color="auto"/>
        <w:left w:val="none" w:sz="0" w:space="0" w:color="auto"/>
        <w:bottom w:val="none" w:sz="0" w:space="0" w:color="auto"/>
        <w:right w:val="none" w:sz="0" w:space="0" w:color="auto"/>
      </w:divBdr>
    </w:div>
    <w:div w:id="1682856204">
      <w:bodyDiv w:val="1"/>
      <w:marLeft w:val="0"/>
      <w:marRight w:val="0"/>
      <w:marTop w:val="0"/>
      <w:marBottom w:val="0"/>
      <w:divBdr>
        <w:top w:val="none" w:sz="0" w:space="0" w:color="auto"/>
        <w:left w:val="none" w:sz="0" w:space="0" w:color="auto"/>
        <w:bottom w:val="none" w:sz="0" w:space="0" w:color="auto"/>
        <w:right w:val="none" w:sz="0" w:space="0" w:color="auto"/>
      </w:divBdr>
      <w:divsChild>
        <w:div w:id="125128729">
          <w:marLeft w:val="446"/>
          <w:marRight w:val="0"/>
          <w:marTop w:val="0"/>
          <w:marBottom w:val="0"/>
          <w:divBdr>
            <w:top w:val="none" w:sz="0" w:space="0" w:color="auto"/>
            <w:left w:val="none" w:sz="0" w:space="0" w:color="auto"/>
            <w:bottom w:val="none" w:sz="0" w:space="0" w:color="auto"/>
            <w:right w:val="none" w:sz="0" w:space="0" w:color="auto"/>
          </w:divBdr>
        </w:div>
      </w:divsChild>
    </w:div>
    <w:div w:id="2064983356">
      <w:bodyDiv w:val="1"/>
      <w:marLeft w:val="0"/>
      <w:marRight w:val="0"/>
      <w:marTop w:val="0"/>
      <w:marBottom w:val="0"/>
      <w:divBdr>
        <w:top w:val="none" w:sz="0" w:space="0" w:color="auto"/>
        <w:left w:val="none" w:sz="0" w:space="0" w:color="auto"/>
        <w:bottom w:val="none" w:sz="0" w:space="0" w:color="auto"/>
        <w:right w:val="none" w:sz="0" w:space="0" w:color="auto"/>
      </w:divBdr>
      <w:divsChild>
        <w:div w:id="6097034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os.org/observations/documents/CEOS_CGMS_GHG_Constellation_Roadmap_V2.3_clean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os.org/observations/documents/GST_Strategy_Paper_V3.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ine.copernicus.eu/about/research-development-projects" TargetMode="External"/><Relationship Id="rId5" Type="http://schemas.openxmlformats.org/officeDocument/2006/relationships/footnotes" Target="footnotes.xml"/><Relationship Id="rId10" Type="http://schemas.openxmlformats.org/officeDocument/2006/relationships/hyperlink" Target="https://eo4society.esa.int/event/blue-carbon-from-space-forum/" TargetMode="External"/><Relationship Id="rId4" Type="http://schemas.openxmlformats.org/officeDocument/2006/relationships/webSettings" Target="webSettings.xml"/><Relationship Id="rId9" Type="http://schemas.openxmlformats.org/officeDocument/2006/relationships/hyperlink" Target="https://ceos.org/observations/documents/AFOLU%20Roadmap%20Discussion%20Paper%20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87</TotalTime>
  <Pages>8</Pages>
  <Words>2905</Words>
  <Characters>16561</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ESA European Space Agency</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Marie-Helene Rio</dc:creator>
  <cp:keywords/>
  <dc:description/>
  <cp:lastModifiedBy>Marie-Helene Rio</cp:lastModifiedBy>
  <cp:revision>20</cp:revision>
  <dcterms:created xsi:type="dcterms:W3CDTF">2023-10-31T16:15:00Z</dcterms:created>
  <dcterms:modified xsi:type="dcterms:W3CDTF">2023-11-02T09:03:00Z</dcterms:modified>
</cp:coreProperties>
</file>