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CE17D" w14:textId="77777777" w:rsidR="00015284" w:rsidRDefault="00951C14">
      <w:pPr>
        <w:jc w:val="center"/>
        <w:rPr>
          <w:rFonts w:ascii="Open Sans" w:eastAsia="Open Sans" w:hAnsi="Open Sans" w:cs="Open Sans"/>
          <w:sz w:val="26"/>
          <w:szCs w:val="26"/>
        </w:rPr>
      </w:pPr>
      <w:r>
        <w:rPr>
          <w:rFonts w:ascii="Open Sans" w:eastAsia="Open Sans" w:hAnsi="Open Sans" w:cs="Open Sans"/>
          <w:sz w:val="26"/>
          <w:szCs w:val="26"/>
        </w:rPr>
        <w:t xml:space="preserve">Report: </w:t>
      </w:r>
    </w:p>
    <w:p w14:paraId="68E33447" w14:textId="77777777" w:rsidR="00015284" w:rsidRDefault="00951C14">
      <w:pPr>
        <w:jc w:val="center"/>
        <w:rPr>
          <w:rFonts w:ascii="Open Sans" w:eastAsia="Open Sans" w:hAnsi="Open Sans" w:cs="Open Sans"/>
          <w:b/>
          <w:sz w:val="26"/>
          <w:szCs w:val="26"/>
        </w:rPr>
      </w:pPr>
      <w:r>
        <w:rPr>
          <w:rFonts w:ascii="Open Sans" w:eastAsia="Open Sans" w:hAnsi="Open Sans" w:cs="Open Sans"/>
          <w:b/>
          <w:sz w:val="26"/>
          <w:szCs w:val="26"/>
        </w:rPr>
        <w:t xml:space="preserve">GEOGLAM Essential Agriculture Variables: Phase 1 and Future Directions </w:t>
      </w:r>
    </w:p>
    <w:p w14:paraId="6F5966A6" w14:textId="77777777" w:rsidR="00015284" w:rsidRDefault="00951C14">
      <w:pPr>
        <w:jc w:val="center"/>
        <w:rPr>
          <w:rFonts w:ascii="Open Sans" w:eastAsia="Open Sans" w:hAnsi="Open Sans" w:cs="Open Sans"/>
          <w:sz w:val="24"/>
          <w:szCs w:val="24"/>
        </w:rPr>
      </w:pPr>
      <w:r>
        <w:rPr>
          <w:rFonts w:ascii="Open Sans" w:eastAsia="Open Sans" w:hAnsi="Open Sans" w:cs="Open Sans"/>
          <w:sz w:val="24"/>
          <w:szCs w:val="24"/>
        </w:rPr>
        <w:t>Presented to CEOS Plenary-39, UKSA, 4-6 November 2025</w:t>
      </w:r>
    </w:p>
    <w:p w14:paraId="53C3ECDC" w14:textId="77777777" w:rsidR="00015284" w:rsidRDefault="00015284">
      <w:pPr>
        <w:jc w:val="center"/>
        <w:rPr>
          <w:rFonts w:ascii="Open Sans" w:eastAsia="Open Sans" w:hAnsi="Open Sans" w:cs="Open Sans"/>
          <w:sz w:val="20"/>
          <w:szCs w:val="20"/>
        </w:rPr>
      </w:pPr>
    </w:p>
    <w:sdt>
      <w:sdtPr>
        <w:id w:val="-1684345519"/>
        <w:docPartObj>
          <w:docPartGallery w:val="Table of Contents"/>
          <w:docPartUnique/>
        </w:docPartObj>
      </w:sdtPr>
      <w:sdtContent>
        <w:p w14:paraId="1E6285D2" w14:textId="77777777" w:rsidR="00015284" w:rsidRDefault="00951C14">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4tkt67iphulw">
            <w:r>
              <w:rPr>
                <w:rFonts w:ascii="Open Sans" w:eastAsia="Open Sans" w:hAnsi="Open Sans" w:cs="Open Sans"/>
                <w:b/>
                <w:color w:val="000000"/>
                <w:sz w:val="20"/>
                <w:szCs w:val="20"/>
              </w:rPr>
              <w:t>Background</w:t>
            </w:r>
            <w:r>
              <w:rPr>
                <w:rFonts w:ascii="Open Sans" w:eastAsia="Open Sans" w:hAnsi="Open Sans" w:cs="Open Sans"/>
                <w:b/>
                <w:color w:val="000000"/>
                <w:sz w:val="20"/>
                <w:szCs w:val="20"/>
              </w:rPr>
              <w:tab/>
              <w:t>1</w:t>
            </w:r>
          </w:hyperlink>
        </w:p>
        <w:p w14:paraId="44B49138" w14:textId="77777777" w:rsidR="00015284" w:rsidRDefault="00951C14">
          <w:pPr>
            <w:widowControl w:val="0"/>
            <w:tabs>
              <w:tab w:val="right" w:pos="12000"/>
            </w:tabs>
            <w:spacing w:before="60" w:line="240" w:lineRule="auto"/>
            <w:rPr>
              <w:b/>
              <w:color w:val="000000"/>
            </w:rPr>
          </w:pPr>
          <w:hyperlink w:anchor="_st5nj7xmc9u9">
            <w:r>
              <w:rPr>
                <w:rFonts w:ascii="Open Sans" w:eastAsia="Open Sans" w:hAnsi="Open Sans" w:cs="Open Sans"/>
                <w:b/>
                <w:color w:val="000000"/>
                <w:sz w:val="20"/>
                <w:szCs w:val="20"/>
              </w:rPr>
              <w:t>Rationale for Post-2023 Efforts on GEOGLAM EAVs</w:t>
            </w:r>
            <w:r>
              <w:rPr>
                <w:rFonts w:ascii="Open Sans" w:eastAsia="Open Sans" w:hAnsi="Open Sans" w:cs="Open Sans"/>
                <w:b/>
                <w:color w:val="000000"/>
                <w:sz w:val="20"/>
                <w:szCs w:val="20"/>
              </w:rPr>
              <w:tab/>
              <w:t>2</w:t>
            </w:r>
          </w:hyperlink>
        </w:p>
        <w:p w14:paraId="5E33F991" w14:textId="77777777" w:rsidR="00015284" w:rsidRDefault="00951C14">
          <w:pPr>
            <w:widowControl w:val="0"/>
            <w:tabs>
              <w:tab w:val="right" w:pos="12000"/>
            </w:tabs>
            <w:spacing w:before="60" w:line="240" w:lineRule="auto"/>
            <w:rPr>
              <w:b/>
              <w:color w:val="000000"/>
            </w:rPr>
          </w:pPr>
          <w:hyperlink w:anchor="_ty6p1msywdpk">
            <w:r>
              <w:rPr>
                <w:rFonts w:ascii="Open Sans" w:eastAsia="Open Sans" w:hAnsi="Open Sans" w:cs="Open Sans"/>
                <w:b/>
                <w:color w:val="000000"/>
                <w:sz w:val="20"/>
                <w:szCs w:val="20"/>
              </w:rPr>
              <w:t>Updates Since Plenary-38</w:t>
            </w:r>
            <w:r>
              <w:rPr>
                <w:rFonts w:ascii="Open Sans" w:eastAsia="Open Sans" w:hAnsi="Open Sans" w:cs="Open Sans"/>
                <w:b/>
                <w:color w:val="000000"/>
                <w:sz w:val="20"/>
                <w:szCs w:val="20"/>
              </w:rPr>
              <w:tab/>
              <w:t>2</w:t>
            </w:r>
          </w:hyperlink>
        </w:p>
        <w:p w14:paraId="0AFA22EB" w14:textId="77777777" w:rsidR="00015284" w:rsidRDefault="00951C14">
          <w:pPr>
            <w:widowControl w:val="0"/>
            <w:tabs>
              <w:tab w:val="right" w:pos="12000"/>
            </w:tabs>
            <w:spacing w:before="60" w:line="240" w:lineRule="auto"/>
            <w:rPr>
              <w:b/>
              <w:color w:val="000000"/>
            </w:rPr>
          </w:pPr>
          <w:hyperlink w:anchor="_9wzfh6tp5r9l">
            <w:r>
              <w:rPr>
                <w:rFonts w:ascii="Open Sans" w:eastAsia="Open Sans" w:hAnsi="Open Sans" w:cs="Open Sans"/>
                <w:b/>
                <w:color w:val="000000"/>
                <w:sz w:val="20"/>
                <w:szCs w:val="20"/>
              </w:rPr>
              <w:t>Progress Toward EAV &amp; EAV Workshop Objectives</w:t>
            </w:r>
            <w:r>
              <w:rPr>
                <w:rFonts w:ascii="Open Sans" w:eastAsia="Open Sans" w:hAnsi="Open Sans" w:cs="Open Sans"/>
                <w:b/>
                <w:color w:val="000000"/>
                <w:sz w:val="20"/>
                <w:szCs w:val="20"/>
              </w:rPr>
              <w:tab/>
              <w:t>3</w:t>
            </w:r>
          </w:hyperlink>
        </w:p>
        <w:p w14:paraId="391A52C9" w14:textId="77777777" w:rsidR="00015284" w:rsidRDefault="00951C14">
          <w:pPr>
            <w:widowControl w:val="0"/>
            <w:tabs>
              <w:tab w:val="right" w:pos="12000"/>
            </w:tabs>
            <w:spacing w:before="60" w:line="240" w:lineRule="auto"/>
            <w:ind w:left="360"/>
            <w:rPr>
              <w:color w:val="000000"/>
            </w:rPr>
          </w:pPr>
          <w:hyperlink w:anchor="_mv2qyykfo1sv">
            <w:r>
              <w:rPr>
                <w:rFonts w:ascii="Open Sans" w:eastAsia="Open Sans" w:hAnsi="Open Sans" w:cs="Open Sans"/>
                <w:color w:val="000000"/>
                <w:sz w:val="20"/>
                <w:szCs w:val="20"/>
              </w:rPr>
              <w:t>Objective 1: Update the EAV Framework, Its Scope, and Its Activities [COMPLETE]</w:t>
            </w:r>
            <w:r>
              <w:rPr>
                <w:rFonts w:ascii="Open Sans" w:eastAsia="Open Sans" w:hAnsi="Open Sans" w:cs="Open Sans"/>
                <w:color w:val="000000"/>
                <w:sz w:val="20"/>
                <w:szCs w:val="20"/>
              </w:rPr>
              <w:tab/>
              <w:t>3</w:t>
            </w:r>
          </w:hyperlink>
        </w:p>
        <w:p w14:paraId="41E6B273" w14:textId="77777777" w:rsidR="00015284" w:rsidRDefault="00951C14">
          <w:pPr>
            <w:widowControl w:val="0"/>
            <w:tabs>
              <w:tab w:val="right" w:pos="12000"/>
            </w:tabs>
            <w:spacing w:before="60" w:line="240" w:lineRule="auto"/>
            <w:ind w:left="360"/>
            <w:rPr>
              <w:color w:val="000000"/>
            </w:rPr>
          </w:pPr>
          <w:hyperlink w:anchor="_ppecax4g3p07">
            <w:r>
              <w:rPr>
                <w:rFonts w:ascii="Open Sans" w:eastAsia="Open Sans" w:hAnsi="Open Sans" w:cs="Open Sans"/>
                <w:color w:val="000000"/>
                <w:sz w:val="20"/>
                <w:szCs w:val="20"/>
              </w:rPr>
              <w:t>Objective 2: Reach Consensus on the EAV List and Affirm EAV Stewards [IN PROGRESS]</w:t>
            </w:r>
            <w:r>
              <w:rPr>
                <w:rFonts w:ascii="Open Sans" w:eastAsia="Open Sans" w:hAnsi="Open Sans" w:cs="Open Sans"/>
                <w:color w:val="000000"/>
                <w:sz w:val="20"/>
                <w:szCs w:val="20"/>
              </w:rPr>
              <w:tab/>
              <w:t>5</w:t>
            </w:r>
          </w:hyperlink>
        </w:p>
        <w:p w14:paraId="4A58BFEA" w14:textId="77777777" w:rsidR="00015284" w:rsidRDefault="00951C14">
          <w:pPr>
            <w:widowControl w:val="0"/>
            <w:tabs>
              <w:tab w:val="right" w:pos="12000"/>
            </w:tabs>
            <w:spacing w:before="60" w:line="240" w:lineRule="auto"/>
            <w:ind w:left="720"/>
            <w:rPr>
              <w:color w:val="000000"/>
            </w:rPr>
          </w:pPr>
          <w:hyperlink w:anchor="_7cey6i5oie96">
            <w:r>
              <w:rPr>
                <w:rFonts w:ascii="Open Sans" w:eastAsia="Open Sans" w:hAnsi="Open Sans" w:cs="Open Sans"/>
                <w:b/>
                <w:color w:val="000000"/>
                <w:sz w:val="20"/>
                <w:szCs w:val="20"/>
              </w:rPr>
              <w:t>Summary of Phase 1 EAVs</w:t>
            </w:r>
            <w:r>
              <w:rPr>
                <w:rFonts w:ascii="Open Sans" w:eastAsia="Open Sans" w:hAnsi="Open Sans" w:cs="Open Sans"/>
                <w:b/>
                <w:color w:val="000000"/>
                <w:sz w:val="20"/>
                <w:szCs w:val="20"/>
              </w:rPr>
              <w:tab/>
              <w:t>6</w:t>
            </w:r>
          </w:hyperlink>
        </w:p>
        <w:p w14:paraId="49C7618D" w14:textId="77777777" w:rsidR="00015284" w:rsidRDefault="00951C14">
          <w:pPr>
            <w:widowControl w:val="0"/>
            <w:tabs>
              <w:tab w:val="right" w:pos="12000"/>
            </w:tabs>
            <w:spacing w:before="60" w:line="240" w:lineRule="auto"/>
            <w:ind w:left="1080"/>
            <w:rPr>
              <w:color w:val="000000"/>
            </w:rPr>
          </w:pPr>
          <w:hyperlink w:anchor="_fg58d7lhdudb">
            <w:r>
              <w:rPr>
                <w:rFonts w:ascii="Open Sans" w:eastAsia="Open Sans" w:hAnsi="Open Sans" w:cs="Open Sans"/>
                <w:color w:val="000000"/>
                <w:sz w:val="20"/>
                <w:szCs w:val="20"/>
              </w:rPr>
              <w:t>Example: Crop Type</w:t>
            </w:r>
            <w:r>
              <w:rPr>
                <w:rFonts w:ascii="Open Sans" w:eastAsia="Open Sans" w:hAnsi="Open Sans" w:cs="Open Sans"/>
                <w:color w:val="000000"/>
                <w:sz w:val="20"/>
                <w:szCs w:val="20"/>
              </w:rPr>
              <w:tab/>
              <w:t>6</w:t>
            </w:r>
          </w:hyperlink>
        </w:p>
        <w:p w14:paraId="00F64D7F" w14:textId="77777777" w:rsidR="00015284" w:rsidRDefault="00951C14">
          <w:pPr>
            <w:widowControl w:val="0"/>
            <w:tabs>
              <w:tab w:val="right" w:pos="12000"/>
            </w:tabs>
            <w:spacing w:before="60" w:line="240" w:lineRule="auto"/>
            <w:ind w:left="1080"/>
            <w:rPr>
              <w:color w:val="000000"/>
            </w:rPr>
          </w:pPr>
          <w:hyperlink w:anchor="_9ta557wry4os">
            <w:r>
              <w:rPr>
                <w:rFonts w:ascii="Open Sans" w:eastAsia="Open Sans" w:hAnsi="Open Sans" w:cs="Open Sans"/>
                <w:color w:val="000000"/>
                <w:sz w:val="20"/>
                <w:szCs w:val="20"/>
              </w:rPr>
              <w:t>Example: Seasonal Cover Crop</w:t>
            </w:r>
            <w:r>
              <w:rPr>
                <w:rFonts w:ascii="Open Sans" w:eastAsia="Open Sans" w:hAnsi="Open Sans" w:cs="Open Sans"/>
                <w:color w:val="000000"/>
                <w:sz w:val="20"/>
                <w:szCs w:val="20"/>
              </w:rPr>
              <w:tab/>
              <w:t>7</w:t>
            </w:r>
          </w:hyperlink>
        </w:p>
        <w:p w14:paraId="0407AA80" w14:textId="77777777" w:rsidR="00015284" w:rsidRDefault="00951C14">
          <w:pPr>
            <w:widowControl w:val="0"/>
            <w:tabs>
              <w:tab w:val="right" w:pos="12000"/>
            </w:tabs>
            <w:spacing w:before="60" w:line="240" w:lineRule="auto"/>
            <w:ind w:left="1080"/>
            <w:rPr>
              <w:color w:val="000000"/>
            </w:rPr>
          </w:pPr>
          <w:hyperlink w:anchor="_xx3f9obimg72">
            <w:r>
              <w:rPr>
                <w:rFonts w:ascii="Open Sans" w:eastAsia="Open Sans" w:hAnsi="Open Sans" w:cs="Open Sans"/>
                <w:color w:val="000000"/>
                <w:sz w:val="20"/>
                <w:szCs w:val="20"/>
              </w:rPr>
              <w:t>See Table for Further Variables</w:t>
            </w:r>
            <w:r>
              <w:rPr>
                <w:rFonts w:ascii="Open Sans" w:eastAsia="Open Sans" w:hAnsi="Open Sans" w:cs="Open Sans"/>
                <w:color w:val="000000"/>
                <w:sz w:val="20"/>
                <w:szCs w:val="20"/>
              </w:rPr>
              <w:tab/>
              <w:t>9</w:t>
            </w:r>
          </w:hyperlink>
        </w:p>
        <w:p w14:paraId="3524AE2B" w14:textId="77777777" w:rsidR="00015284" w:rsidRDefault="00951C14">
          <w:pPr>
            <w:widowControl w:val="0"/>
            <w:tabs>
              <w:tab w:val="right" w:pos="12000"/>
            </w:tabs>
            <w:spacing w:before="60" w:line="240" w:lineRule="auto"/>
            <w:ind w:left="720"/>
            <w:rPr>
              <w:color w:val="000000"/>
            </w:rPr>
          </w:pPr>
          <w:hyperlink w:anchor="_qw5dh9evd445">
            <w:r>
              <w:rPr>
                <w:rFonts w:ascii="Open Sans" w:eastAsia="Open Sans" w:hAnsi="Open Sans" w:cs="Open Sans"/>
                <w:b/>
                <w:color w:val="000000"/>
                <w:sz w:val="20"/>
                <w:szCs w:val="20"/>
              </w:rPr>
              <w:t>EAV List &amp; Stewards</w:t>
            </w:r>
            <w:r>
              <w:rPr>
                <w:rFonts w:ascii="Open Sans" w:eastAsia="Open Sans" w:hAnsi="Open Sans" w:cs="Open Sans"/>
                <w:b/>
                <w:color w:val="000000"/>
                <w:sz w:val="20"/>
                <w:szCs w:val="20"/>
              </w:rPr>
              <w:tab/>
              <w:t>9</w:t>
            </w:r>
          </w:hyperlink>
        </w:p>
        <w:p w14:paraId="5B3A7966" w14:textId="77777777" w:rsidR="00015284" w:rsidRDefault="00951C14">
          <w:pPr>
            <w:widowControl w:val="0"/>
            <w:tabs>
              <w:tab w:val="right" w:pos="12000"/>
            </w:tabs>
            <w:spacing w:before="60" w:line="240" w:lineRule="auto"/>
            <w:ind w:left="360"/>
            <w:rPr>
              <w:color w:val="000000"/>
            </w:rPr>
          </w:pPr>
          <w:hyperlink w:anchor="_svax89j2jifz">
            <w:r>
              <w:rPr>
                <w:rFonts w:ascii="Open Sans" w:eastAsia="Open Sans" w:hAnsi="Open Sans" w:cs="Open Sans"/>
                <w:color w:val="000000"/>
                <w:sz w:val="20"/>
                <w:szCs w:val="20"/>
              </w:rPr>
              <w:t xml:space="preserve">Objective 3: Identify Synergies with and Opportunities for Engagement with CEOS and Adjacent Communities and their Essential Variables [PROGRESS + </w:t>
            </w:r>
          </w:hyperlink>
          <w:hyperlink w:anchor="_svax89j2jifz">
            <w:r>
              <w:rPr>
                <w:rFonts w:ascii="Open Sans" w:eastAsia="Open Sans" w:hAnsi="Open Sans" w:cs="Open Sans"/>
                <w:b/>
                <w:color w:val="000000"/>
                <w:sz w:val="20"/>
                <w:szCs w:val="20"/>
                <w:shd w:val="clear" w:color="auto" w:fill="D9EAD3"/>
              </w:rPr>
              <w:t>ACTION REQUEST</w:t>
            </w:r>
          </w:hyperlink>
          <w:hyperlink w:anchor="_svax89j2jifz">
            <w:r>
              <w:rPr>
                <w:rFonts w:ascii="Open Sans" w:eastAsia="Open Sans" w:hAnsi="Open Sans" w:cs="Open Sans"/>
                <w:color w:val="000000"/>
                <w:sz w:val="20"/>
                <w:szCs w:val="20"/>
              </w:rPr>
              <w:t>]</w:t>
            </w:r>
            <w:r>
              <w:rPr>
                <w:rFonts w:ascii="Open Sans" w:eastAsia="Open Sans" w:hAnsi="Open Sans" w:cs="Open Sans"/>
                <w:color w:val="000000"/>
                <w:sz w:val="20"/>
                <w:szCs w:val="20"/>
              </w:rPr>
              <w:tab/>
              <w:t>9</w:t>
            </w:r>
          </w:hyperlink>
        </w:p>
        <w:p w14:paraId="6D502D6F" w14:textId="77777777" w:rsidR="00015284" w:rsidRDefault="00951C14">
          <w:pPr>
            <w:widowControl w:val="0"/>
            <w:tabs>
              <w:tab w:val="right" w:pos="12000"/>
            </w:tabs>
            <w:spacing w:before="60" w:line="240" w:lineRule="auto"/>
            <w:rPr>
              <w:b/>
              <w:color w:val="000000"/>
            </w:rPr>
          </w:pPr>
          <w:hyperlink w:anchor="_v7ca7u2rc9le">
            <w:r>
              <w:rPr>
                <w:rFonts w:ascii="Open Sans" w:eastAsia="Open Sans" w:hAnsi="Open Sans" w:cs="Open Sans"/>
                <w:b/>
                <w:color w:val="000000"/>
                <w:sz w:val="20"/>
                <w:szCs w:val="20"/>
              </w:rPr>
              <w:t>Next Steps</w:t>
            </w:r>
            <w:r>
              <w:rPr>
                <w:rFonts w:ascii="Open Sans" w:eastAsia="Open Sans" w:hAnsi="Open Sans" w:cs="Open Sans"/>
                <w:b/>
                <w:color w:val="000000"/>
                <w:sz w:val="20"/>
                <w:szCs w:val="20"/>
              </w:rPr>
              <w:tab/>
              <w:t>10</w:t>
            </w:r>
          </w:hyperlink>
        </w:p>
        <w:p w14:paraId="37EBE8B8" w14:textId="77777777" w:rsidR="00015284" w:rsidRDefault="00951C14">
          <w:pPr>
            <w:widowControl w:val="0"/>
            <w:tabs>
              <w:tab w:val="right" w:pos="12000"/>
            </w:tabs>
            <w:spacing w:before="60" w:line="240" w:lineRule="auto"/>
            <w:ind w:left="360"/>
            <w:rPr>
              <w:color w:val="000000"/>
            </w:rPr>
          </w:pPr>
          <w:hyperlink w:anchor="_f6s6j2l6fpry">
            <w:r>
              <w:rPr>
                <w:rFonts w:ascii="Open Sans" w:eastAsia="Open Sans" w:hAnsi="Open Sans" w:cs="Open Sans"/>
                <w:color w:val="000000"/>
                <w:sz w:val="20"/>
                <w:szCs w:val="20"/>
              </w:rPr>
              <w:t>Objective 4: Set Milestones and Timelines [COMPLETE / UPDATEABLE]</w:t>
            </w:r>
            <w:r>
              <w:rPr>
                <w:rFonts w:ascii="Open Sans" w:eastAsia="Open Sans" w:hAnsi="Open Sans" w:cs="Open Sans"/>
                <w:color w:val="000000"/>
                <w:sz w:val="20"/>
                <w:szCs w:val="20"/>
              </w:rPr>
              <w:tab/>
              <w:t>10</w:t>
            </w:r>
          </w:hyperlink>
        </w:p>
        <w:p w14:paraId="704BBC2C" w14:textId="77777777" w:rsidR="00015284" w:rsidRDefault="00951C14">
          <w:pPr>
            <w:widowControl w:val="0"/>
            <w:tabs>
              <w:tab w:val="right" w:pos="12000"/>
            </w:tabs>
            <w:spacing w:before="60" w:line="240" w:lineRule="auto"/>
            <w:rPr>
              <w:b/>
              <w:color w:val="000000"/>
            </w:rPr>
          </w:pPr>
          <w:hyperlink w:anchor="_emvt4urpczk0">
            <w:r>
              <w:rPr>
                <w:rFonts w:ascii="Open Sans" w:eastAsia="Open Sans" w:hAnsi="Open Sans" w:cs="Open Sans"/>
                <w:b/>
                <w:color w:val="000000"/>
                <w:sz w:val="20"/>
                <w:szCs w:val="20"/>
              </w:rPr>
              <w:t>Report Versioning History</w:t>
            </w:r>
            <w:r>
              <w:rPr>
                <w:rFonts w:ascii="Open Sans" w:eastAsia="Open Sans" w:hAnsi="Open Sans" w:cs="Open Sans"/>
                <w:b/>
                <w:color w:val="000000"/>
                <w:sz w:val="20"/>
                <w:szCs w:val="20"/>
              </w:rPr>
              <w:tab/>
              <w:t>11</w:t>
            </w:r>
          </w:hyperlink>
          <w:r>
            <w:fldChar w:fldCharType="end"/>
          </w:r>
        </w:p>
      </w:sdtContent>
    </w:sdt>
    <w:p w14:paraId="247EE251" w14:textId="77777777" w:rsidR="00015284" w:rsidRDefault="00015284">
      <w:pPr>
        <w:pStyle w:val="Heading1"/>
        <w:spacing w:before="0" w:after="80" w:line="276" w:lineRule="auto"/>
      </w:pPr>
      <w:bookmarkStart w:id="0" w:name="_1znvao4d1xyx" w:colFirst="0" w:colLast="0"/>
      <w:bookmarkEnd w:id="0"/>
    </w:p>
    <w:p w14:paraId="32BCFA7E" w14:textId="77777777" w:rsidR="00015284" w:rsidRDefault="00951C14">
      <w:pPr>
        <w:pStyle w:val="Heading1"/>
        <w:spacing w:before="0" w:after="80" w:line="276" w:lineRule="auto"/>
      </w:pPr>
      <w:bookmarkStart w:id="1" w:name="_4tkt67iphulw" w:colFirst="0" w:colLast="0"/>
      <w:bookmarkEnd w:id="1"/>
      <w:r>
        <w:t>Background</w:t>
      </w:r>
    </w:p>
    <w:p w14:paraId="16E28F0A" w14:textId="77777777" w:rsidR="00015284" w:rsidRDefault="00951C14" w:rsidP="001A1AB9">
      <w:pPr>
        <w:spacing w:after="160" w:line="240" w:lineRule="auto"/>
        <w:ind w:firstLine="720"/>
        <w:rPr>
          <w:rFonts w:ascii="Open Sans" w:eastAsia="Open Sans" w:hAnsi="Open Sans" w:cs="Open Sans"/>
          <w:sz w:val="20"/>
          <w:szCs w:val="20"/>
        </w:rPr>
      </w:pPr>
      <w:r>
        <w:rPr>
          <w:rFonts w:ascii="Open Sans" w:eastAsia="Open Sans" w:hAnsi="Open Sans" w:cs="Open Sans"/>
          <w:sz w:val="20"/>
          <w:szCs w:val="20"/>
        </w:rPr>
        <w:t>The GEOGLAM (Group on Earth Observations Global Agriculture Monitoring) Initiative, was established in 2011 by the G20 Agriculture Ministers as a part of their action plan on food price volatility, with the mandate to use satellite data to provide timely, accurate, and actionable information on production as it impacts agricultural markets, food security, and agricultural sustainability.  This mandate is implemented by the bottom-up GEOGLAM “Community of Practice,” comprising individuals active in aligned roles and fields who come from space agencies, ministries of agriculture, research centers, universities, and other organizations. Community of Practice members contribute to one or more of eight working groups, a cornerstone of which is Earth Observation Data Coordination (Liaison with CEOS) and its primary effort, the Essential Agriculture Variables (EAVs).</w:t>
      </w:r>
    </w:p>
    <w:p w14:paraId="0C962F41" w14:textId="0E4FAFCC" w:rsidR="00015284" w:rsidRDefault="00951C14">
      <w:pPr>
        <w:spacing w:after="80" w:line="240" w:lineRule="auto"/>
        <w:ind w:firstLine="720"/>
        <w:rPr>
          <w:rFonts w:ascii="Open Sans" w:eastAsia="Open Sans" w:hAnsi="Open Sans" w:cs="Open Sans"/>
          <w:sz w:val="20"/>
          <w:szCs w:val="20"/>
        </w:rPr>
      </w:pPr>
      <w:r>
        <w:rPr>
          <w:rFonts w:ascii="Open Sans" w:eastAsia="Open Sans" w:hAnsi="Open Sans" w:cs="Open Sans"/>
          <w:sz w:val="20"/>
          <w:szCs w:val="20"/>
        </w:rPr>
        <w:t xml:space="preserve">EAVs are satellite-based building blocks that in combination with one another and/or other non-EO information support GEOGLAM’s mandate to provide actionable, policy relevant information on state, change, and forecast of agricultural land use and productivity. A first effort was conducted in 2019-2022, wherein 30+ GEOGLAM EAV stewards collaboratively defined 40 EAVs comprising Climate and Weather Variables and Agricultural Domain Variables. </w:t>
      </w:r>
    </w:p>
    <w:p w14:paraId="789F8210" w14:textId="77777777" w:rsidR="00015284" w:rsidRDefault="00951C14">
      <w:pPr>
        <w:pStyle w:val="Heading1"/>
        <w:spacing w:before="200" w:after="80"/>
      </w:pPr>
      <w:bookmarkStart w:id="2" w:name="_st5nj7xmc9u9" w:colFirst="0" w:colLast="0"/>
      <w:bookmarkEnd w:id="2"/>
      <w:r>
        <w:lastRenderedPageBreak/>
        <w:t>Rationale for Post-2023 Efforts on GEOGLAM EAVs</w:t>
      </w:r>
    </w:p>
    <w:p w14:paraId="1A4D9B86" w14:textId="77777777" w:rsidR="00015284" w:rsidRDefault="00951C14">
      <w:pPr>
        <w:spacing w:after="80" w:line="240" w:lineRule="auto"/>
        <w:ind w:firstLine="720"/>
        <w:rPr>
          <w:rFonts w:ascii="Open Sans" w:eastAsia="Open Sans" w:hAnsi="Open Sans" w:cs="Open Sans"/>
          <w:sz w:val="20"/>
          <w:szCs w:val="20"/>
        </w:rPr>
      </w:pPr>
      <w:r>
        <w:rPr>
          <w:rFonts w:ascii="Open Sans" w:eastAsia="Open Sans" w:hAnsi="Open Sans" w:cs="Open Sans"/>
          <w:sz w:val="20"/>
          <w:szCs w:val="20"/>
        </w:rPr>
        <w:t xml:space="preserve">Since the inception of the EAV effort, there has been an expansion in national and international policy drivers directly related to agriculture and the EAVs, an increase in satellite measurements applicable to agriculture, an advancement of EAVs models and methods, growth of the agriculture monitoring community, and an increase in applicability of satellite data for agriculture decisions down to the sub-farm scale. </w:t>
      </w:r>
    </w:p>
    <w:p w14:paraId="2E5412F6" w14:textId="77777777" w:rsidR="00015284" w:rsidRDefault="00951C14">
      <w:pPr>
        <w:spacing w:after="80" w:line="240" w:lineRule="auto"/>
        <w:ind w:firstLine="720"/>
        <w:rPr>
          <w:rFonts w:ascii="Open Sans" w:eastAsia="Open Sans" w:hAnsi="Open Sans" w:cs="Open Sans"/>
        </w:rPr>
      </w:pPr>
      <w:r>
        <w:rPr>
          <w:rFonts w:ascii="Open Sans" w:eastAsia="Open Sans" w:hAnsi="Open Sans" w:cs="Open Sans"/>
          <w:sz w:val="20"/>
          <w:szCs w:val="20"/>
        </w:rPr>
        <w:t xml:space="preserve">Simply put, there are proliferating uses for satellite EO, and the lack of synthesis and coordination creates inefficiency, inconsistency (in definition, product specifications), and quality issues. There is a very clear need for guidance that transcends application, scale, and political boundaries on definitions and typologies for improved agriculture monitoring and assessment. GEOGLAM, as the only international organization convened around the use of satellite data for agriculture and given the political mandate (G20) related to agriculture monitoring is best placed to coordinate this effort. Such consensus-based efforts will support multiple audiences (including space agencies) that aim to support food security, agricultural sustainability, and progress toward achieving ambitious goals set by the United Nations and others. </w:t>
      </w:r>
    </w:p>
    <w:p w14:paraId="6A683271" w14:textId="77777777" w:rsidR="00015284" w:rsidRDefault="00951C14">
      <w:pPr>
        <w:pStyle w:val="Heading1"/>
        <w:spacing w:after="80"/>
      </w:pPr>
      <w:bookmarkStart w:id="3" w:name="_ty6p1msywdpk" w:colFirst="0" w:colLast="0"/>
      <w:bookmarkEnd w:id="3"/>
      <w:r>
        <w:t>Updates Since Plenary-38</w:t>
      </w:r>
    </w:p>
    <w:p w14:paraId="3A641967" w14:textId="77777777" w:rsidR="00015284" w:rsidRDefault="00951C14">
      <w:pPr>
        <w:spacing w:after="80" w:line="240" w:lineRule="auto"/>
        <w:ind w:firstLine="720"/>
        <w:rPr>
          <w:rFonts w:ascii="Open Sans" w:eastAsia="Open Sans" w:hAnsi="Open Sans" w:cs="Open Sans"/>
          <w:sz w:val="20"/>
          <w:szCs w:val="20"/>
        </w:rPr>
      </w:pPr>
      <w:r>
        <w:rPr>
          <w:rFonts w:ascii="Open Sans" w:eastAsia="Open Sans" w:hAnsi="Open Sans" w:cs="Open Sans"/>
          <w:sz w:val="20"/>
          <w:szCs w:val="20"/>
        </w:rPr>
        <w:t xml:space="preserve">At Plenary-38, CEOS adopted an action (Plenary-38-08) to contribute to a </w:t>
      </w:r>
      <w:proofErr w:type="spellStart"/>
      <w:r>
        <w:rPr>
          <w:rFonts w:ascii="Open Sans" w:eastAsia="Open Sans" w:hAnsi="Open Sans" w:cs="Open Sans"/>
          <w:sz w:val="20"/>
          <w:szCs w:val="20"/>
        </w:rPr>
        <w:t>stocktake</w:t>
      </w:r>
      <w:proofErr w:type="spellEnd"/>
      <w:r>
        <w:rPr>
          <w:rFonts w:ascii="Open Sans" w:eastAsia="Open Sans" w:hAnsi="Open Sans" w:cs="Open Sans"/>
          <w:sz w:val="20"/>
          <w:szCs w:val="20"/>
        </w:rPr>
        <w:t xml:space="preserve"> or inventory of the EAVs. In May 2025, the European Commission Joint Research Centre hosted a </w:t>
      </w:r>
      <w:proofErr w:type="gramStart"/>
      <w:r>
        <w:rPr>
          <w:rFonts w:ascii="Open Sans" w:eastAsia="Open Sans" w:hAnsi="Open Sans" w:cs="Open Sans"/>
          <w:sz w:val="20"/>
          <w:szCs w:val="20"/>
        </w:rPr>
        <w:t>2.5 day</w:t>
      </w:r>
      <w:proofErr w:type="gramEnd"/>
      <w:r>
        <w:rPr>
          <w:rFonts w:ascii="Open Sans" w:eastAsia="Open Sans" w:hAnsi="Open Sans" w:cs="Open Sans"/>
          <w:sz w:val="20"/>
          <w:szCs w:val="20"/>
        </w:rPr>
        <w:t xml:space="preserve"> long workshop with the following Objectives: </w:t>
      </w:r>
    </w:p>
    <w:p w14:paraId="2D2F6407" w14:textId="77777777" w:rsidR="00015284" w:rsidRDefault="00951C14">
      <w:pPr>
        <w:numPr>
          <w:ilvl w:val="0"/>
          <w:numId w:val="7"/>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 xml:space="preserve">Update the EAV framework and its scope, including </w:t>
      </w:r>
      <w:proofErr w:type="spellStart"/>
      <w:r>
        <w:rPr>
          <w:rFonts w:ascii="Open Sans" w:eastAsia="Open Sans" w:hAnsi="Open Sans" w:cs="Open Sans"/>
          <w:sz w:val="20"/>
          <w:szCs w:val="20"/>
        </w:rPr>
        <w:t>prioritisation</w:t>
      </w:r>
      <w:proofErr w:type="spellEnd"/>
      <w:r>
        <w:rPr>
          <w:rFonts w:ascii="Open Sans" w:eastAsia="Open Sans" w:hAnsi="Open Sans" w:cs="Open Sans"/>
          <w:sz w:val="20"/>
          <w:szCs w:val="20"/>
        </w:rPr>
        <w:t xml:space="preserve"> of activities and </w:t>
      </w:r>
      <w:proofErr w:type="gramStart"/>
      <w:r>
        <w:rPr>
          <w:rFonts w:ascii="Open Sans" w:eastAsia="Open Sans" w:hAnsi="Open Sans" w:cs="Open Sans"/>
          <w:sz w:val="20"/>
          <w:szCs w:val="20"/>
        </w:rPr>
        <w:t>variables;</w:t>
      </w:r>
      <w:proofErr w:type="gramEnd"/>
    </w:p>
    <w:p w14:paraId="0E1D31B2" w14:textId="77777777" w:rsidR="00015284" w:rsidRDefault="00951C14">
      <w:pPr>
        <w:numPr>
          <w:ilvl w:val="0"/>
          <w:numId w:val="7"/>
        </w:numPr>
        <w:rPr>
          <w:rFonts w:ascii="Open Sans" w:eastAsia="Open Sans" w:hAnsi="Open Sans" w:cs="Open Sans"/>
          <w:sz w:val="20"/>
          <w:szCs w:val="20"/>
        </w:rPr>
      </w:pPr>
      <w:r>
        <w:rPr>
          <w:rFonts w:ascii="Open Sans" w:eastAsia="Open Sans" w:hAnsi="Open Sans" w:cs="Open Sans"/>
          <w:sz w:val="20"/>
          <w:szCs w:val="20"/>
        </w:rPr>
        <w:t xml:space="preserve">Reach consensus on the EAV list and affirm stewards for the different </w:t>
      </w:r>
      <w:proofErr w:type="gramStart"/>
      <w:r>
        <w:rPr>
          <w:rFonts w:ascii="Open Sans" w:eastAsia="Open Sans" w:hAnsi="Open Sans" w:cs="Open Sans"/>
          <w:sz w:val="20"/>
          <w:szCs w:val="20"/>
        </w:rPr>
        <w:t>EAVs;</w:t>
      </w:r>
      <w:proofErr w:type="gramEnd"/>
      <w:r>
        <w:rPr>
          <w:rFonts w:ascii="Open Sans" w:eastAsia="Open Sans" w:hAnsi="Open Sans" w:cs="Open Sans"/>
          <w:sz w:val="20"/>
          <w:szCs w:val="20"/>
        </w:rPr>
        <w:t xml:space="preserve"> </w:t>
      </w:r>
    </w:p>
    <w:p w14:paraId="11082247" w14:textId="77777777" w:rsidR="00015284" w:rsidRDefault="00951C14">
      <w:pPr>
        <w:numPr>
          <w:ilvl w:val="0"/>
          <w:numId w:val="7"/>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Identify synergies with and opportunities for engagement with CEOS activities, agency activities, and adjacent communities and their Essential Variables (e.g. Climate, Water, Biodiversity</w:t>
      </w:r>
      <w:proofErr w:type="gramStart"/>
      <w:r>
        <w:rPr>
          <w:rFonts w:ascii="Open Sans" w:eastAsia="Open Sans" w:hAnsi="Open Sans" w:cs="Open Sans"/>
          <w:sz w:val="20"/>
          <w:szCs w:val="20"/>
        </w:rPr>
        <w:t>);</w:t>
      </w:r>
      <w:proofErr w:type="gramEnd"/>
    </w:p>
    <w:p w14:paraId="0017C282" w14:textId="77777777" w:rsidR="00015284" w:rsidRDefault="00951C14">
      <w:pPr>
        <w:numPr>
          <w:ilvl w:val="0"/>
          <w:numId w:val="7"/>
        </w:numPr>
        <w:rPr>
          <w:rFonts w:ascii="Open Sans" w:eastAsia="Open Sans" w:hAnsi="Open Sans" w:cs="Open Sans"/>
          <w:sz w:val="20"/>
          <w:szCs w:val="20"/>
        </w:rPr>
      </w:pPr>
      <w:r>
        <w:rPr>
          <w:rFonts w:ascii="Open Sans" w:eastAsia="Open Sans" w:hAnsi="Open Sans" w:cs="Open Sans"/>
          <w:sz w:val="20"/>
          <w:szCs w:val="20"/>
        </w:rPr>
        <w:t>Set milestones and timelines for accomplishing the increments of the EAV effort as laid out and agreed upon during the meeting.</w:t>
      </w:r>
    </w:p>
    <w:p w14:paraId="2A8D97FF" w14:textId="77777777" w:rsidR="00015284" w:rsidRDefault="00951C14">
      <w:pPr>
        <w:pBdr>
          <w:top w:val="nil"/>
          <w:left w:val="nil"/>
          <w:bottom w:val="nil"/>
          <w:right w:val="nil"/>
          <w:between w:val="nil"/>
        </w:pBdr>
        <w:spacing w:before="200" w:after="80" w:line="240" w:lineRule="auto"/>
        <w:ind w:firstLine="720"/>
        <w:rPr>
          <w:rFonts w:ascii="Open Sans" w:eastAsia="Open Sans" w:hAnsi="Open Sans" w:cs="Open Sans"/>
          <w:sz w:val="20"/>
          <w:szCs w:val="20"/>
        </w:rPr>
      </w:pPr>
      <w:r>
        <w:rPr>
          <w:rFonts w:ascii="Open Sans" w:eastAsia="Open Sans" w:hAnsi="Open Sans" w:cs="Open Sans"/>
          <w:sz w:val="20"/>
          <w:szCs w:val="20"/>
        </w:rPr>
        <w:t xml:space="preserve">The workshop was attended in person by 34 individuals in-person (including UKSA, ESA, NASA, and the European Commission), and virtually by another 17 (including JAXA, SANSA, Geoscience Australia, and ISRO). </w:t>
      </w:r>
      <w:proofErr w:type="gramStart"/>
      <w:r>
        <w:rPr>
          <w:rFonts w:ascii="Open Sans" w:eastAsia="Open Sans" w:hAnsi="Open Sans" w:cs="Open Sans"/>
          <w:sz w:val="20"/>
          <w:szCs w:val="20"/>
        </w:rPr>
        <w:t>All of</w:t>
      </w:r>
      <w:proofErr w:type="gramEnd"/>
      <w:r>
        <w:rPr>
          <w:rFonts w:ascii="Open Sans" w:eastAsia="Open Sans" w:hAnsi="Open Sans" w:cs="Open Sans"/>
          <w:sz w:val="20"/>
          <w:szCs w:val="20"/>
        </w:rPr>
        <w:t xml:space="preserve"> the above objectives were met, at least partially. </w:t>
      </w:r>
    </w:p>
    <w:p w14:paraId="150CCFE8" w14:textId="77777777" w:rsidR="00015284" w:rsidRDefault="00951C14">
      <w:pPr>
        <w:pBdr>
          <w:top w:val="nil"/>
          <w:left w:val="nil"/>
          <w:bottom w:val="nil"/>
          <w:right w:val="nil"/>
          <w:between w:val="nil"/>
        </w:pBdr>
        <w:spacing w:after="80" w:line="240" w:lineRule="auto"/>
        <w:ind w:firstLine="720"/>
        <w:rPr>
          <w:rFonts w:ascii="Open Sans" w:eastAsia="Open Sans" w:hAnsi="Open Sans" w:cs="Open Sans"/>
          <w:sz w:val="20"/>
          <w:szCs w:val="20"/>
        </w:rPr>
      </w:pPr>
      <w:r>
        <w:rPr>
          <w:rFonts w:ascii="Open Sans" w:eastAsia="Open Sans" w:hAnsi="Open Sans" w:cs="Open Sans"/>
          <w:b/>
          <w:sz w:val="20"/>
          <w:szCs w:val="20"/>
        </w:rPr>
        <w:t xml:space="preserve">The immediate action </w:t>
      </w:r>
      <w:r>
        <w:rPr>
          <w:rFonts w:ascii="Open Sans" w:eastAsia="Open Sans" w:hAnsi="Open Sans" w:cs="Open Sans"/>
          <w:sz w:val="20"/>
          <w:szCs w:val="20"/>
        </w:rPr>
        <w:t xml:space="preserve">that resulted from the workshop was to “pressure test” the EAV framework for </w:t>
      </w:r>
      <w:r w:rsidRPr="00AA16A9">
        <w:rPr>
          <w:rFonts w:ascii="Open Sans" w:eastAsia="Open Sans" w:hAnsi="Open Sans" w:cs="Open Sans"/>
          <w:b/>
          <w:bCs/>
          <w:sz w:val="20"/>
          <w:szCs w:val="20"/>
        </w:rPr>
        <w:t>5 initial EAVs</w:t>
      </w:r>
      <w:r>
        <w:rPr>
          <w:rFonts w:ascii="Open Sans" w:eastAsia="Open Sans" w:hAnsi="Open Sans" w:cs="Open Sans"/>
          <w:sz w:val="20"/>
          <w:szCs w:val="20"/>
        </w:rPr>
        <w:t>, with the plan to take lessons learned and begin expanding to other EAVs beginning in Fall 2025:</w:t>
      </w:r>
    </w:p>
    <w:p w14:paraId="2790B639" w14:textId="77777777" w:rsidR="00015284" w:rsidRPr="00AA16A9" w:rsidRDefault="00951C14">
      <w:pPr>
        <w:numPr>
          <w:ilvl w:val="0"/>
          <w:numId w:val="2"/>
        </w:numPr>
        <w:pBdr>
          <w:top w:val="nil"/>
          <w:left w:val="nil"/>
          <w:bottom w:val="nil"/>
          <w:right w:val="nil"/>
          <w:between w:val="nil"/>
        </w:pBdr>
        <w:spacing w:line="240" w:lineRule="auto"/>
        <w:rPr>
          <w:rFonts w:ascii="Open Sans" w:eastAsia="Open Sans" w:hAnsi="Open Sans" w:cs="Open Sans"/>
          <w:b/>
          <w:bCs/>
          <w:sz w:val="20"/>
          <w:szCs w:val="20"/>
        </w:rPr>
      </w:pPr>
      <w:r w:rsidRPr="00AA16A9">
        <w:rPr>
          <w:rFonts w:ascii="Open Sans" w:eastAsia="Open Sans" w:hAnsi="Open Sans" w:cs="Open Sans"/>
          <w:b/>
          <w:bCs/>
          <w:sz w:val="20"/>
          <w:szCs w:val="20"/>
        </w:rPr>
        <w:t>Crop Type</w:t>
      </w:r>
    </w:p>
    <w:p w14:paraId="75AB725C" w14:textId="77777777" w:rsidR="00015284" w:rsidRPr="00AA16A9" w:rsidRDefault="00951C14">
      <w:pPr>
        <w:numPr>
          <w:ilvl w:val="0"/>
          <w:numId w:val="2"/>
        </w:numPr>
        <w:pBdr>
          <w:top w:val="nil"/>
          <w:left w:val="nil"/>
          <w:bottom w:val="nil"/>
          <w:right w:val="nil"/>
          <w:between w:val="nil"/>
        </w:pBdr>
        <w:spacing w:line="240" w:lineRule="auto"/>
        <w:rPr>
          <w:rFonts w:ascii="Open Sans" w:eastAsia="Open Sans" w:hAnsi="Open Sans" w:cs="Open Sans"/>
          <w:b/>
          <w:bCs/>
          <w:sz w:val="20"/>
          <w:szCs w:val="20"/>
        </w:rPr>
      </w:pPr>
      <w:r w:rsidRPr="00AA16A9">
        <w:rPr>
          <w:rFonts w:ascii="Open Sans" w:eastAsia="Open Sans" w:hAnsi="Open Sans" w:cs="Open Sans"/>
          <w:b/>
          <w:bCs/>
          <w:sz w:val="20"/>
          <w:szCs w:val="20"/>
        </w:rPr>
        <w:t>Crop Yield</w:t>
      </w:r>
    </w:p>
    <w:p w14:paraId="4D4F2277" w14:textId="77777777" w:rsidR="00015284" w:rsidRPr="00AA16A9" w:rsidRDefault="00951C14">
      <w:pPr>
        <w:numPr>
          <w:ilvl w:val="0"/>
          <w:numId w:val="2"/>
        </w:numPr>
        <w:pBdr>
          <w:top w:val="nil"/>
          <w:left w:val="nil"/>
          <w:bottom w:val="nil"/>
          <w:right w:val="nil"/>
          <w:between w:val="nil"/>
        </w:pBdr>
        <w:spacing w:line="240" w:lineRule="auto"/>
        <w:rPr>
          <w:rFonts w:ascii="Open Sans" w:eastAsia="Open Sans" w:hAnsi="Open Sans" w:cs="Open Sans"/>
          <w:b/>
          <w:bCs/>
          <w:sz w:val="20"/>
          <w:szCs w:val="20"/>
        </w:rPr>
      </w:pPr>
      <w:r w:rsidRPr="00AA16A9">
        <w:rPr>
          <w:rFonts w:ascii="Open Sans" w:eastAsia="Open Sans" w:hAnsi="Open Sans" w:cs="Open Sans"/>
          <w:b/>
          <w:bCs/>
          <w:sz w:val="20"/>
          <w:szCs w:val="20"/>
        </w:rPr>
        <w:t>Field Boundaries</w:t>
      </w:r>
    </w:p>
    <w:p w14:paraId="6FEA108F" w14:textId="77777777" w:rsidR="00015284" w:rsidRPr="00AA16A9" w:rsidRDefault="00951C14">
      <w:pPr>
        <w:numPr>
          <w:ilvl w:val="0"/>
          <w:numId w:val="2"/>
        </w:numPr>
        <w:pBdr>
          <w:top w:val="nil"/>
          <w:left w:val="nil"/>
          <w:bottom w:val="nil"/>
          <w:right w:val="nil"/>
          <w:between w:val="nil"/>
        </w:pBdr>
        <w:spacing w:line="240" w:lineRule="auto"/>
        <w:rPr>
          <w:rFonts w:ascii="Open Sans" w:eastAsia="Open Sans" w:hAnsi="Open Sans" w:cs="Open Sans"/>
          <w:b/>
          <w:bCs/>
          <w:sz w:val="20"/>
          <w:szCs w:val="20"/>
        </w:rPr>
      </w:pPr>
      <w:r w:rsidRPr="00AA16A9">
        <w:rPr>
          <w:rFonts w:ascii="Open Sans" w:eastAsia="Open Sans" w:hAnsi="Open Sans" w:cs="Open Sans"/>
          <w:b/>
          <w:bCs/>
          <w:sz w:val="20"/>
          <w:szCs w:val="20"/>
        </w:rPr>
        <w:t>Cover Crop</w:t>
      </w:r>
    </w:p>
    <w:p w14:paraId="018A3C48" w14:textId="77777777" w:rsidR="00015284" w:rsidRPr="00AA16A9" w:rsidRDefault="00951C14">
      <w:pPr>
        <w:numPr>
          <w:ilvl w:val="0"/>
          <w:numId w:val="2"/>
        </w:numPr>
        <w:pBdr>
          <w:top w:val="nil"/>
          <w:left w:val="nil"/>
          <w:bottom w:val="nil"/>
          <w:right w:val="nil"/>
          <w:between w:val="nil"/>
        </w:pBdr>
        <w:spacing w:after="80" w:line="240" w:lineRule="auto"/>
        <w:rPr>
          <w:rFonts w:ascii="Open Sans" w:eastAsia="Open Sans" w:hAnsi="Open Sans" w:cs="Open Sans"/>
          <w:b/>
          <w:bCs/>
          <w:sz w:val="20"/>
          <w:szCs w:val="20"/>
        </w:rPr>
      </w:pPr>
      <w:r w:rsidRPr="00AA16A9">
        <w:rPr>
          <w:rFonts w:ascii="Open Sans" w:eastAsia="Open Sans" w:hAnsi="Open Sans" w:cs="Open Sans"/>
          <w:b/>
          <w:bCs/>
          <w:sz w:val="20"/>
          <w:szCs w:val="20"/>
        </w:rPr>
        <w:t>Actual Evapotranspiration</w:t>
      </w:r>
    </w:p>
    <w:p w14:paraId="2F375339" w14:textId="77777777" w:rsidR="00015284" w:rsidRDefault="00015284">
      <w:pPr>
        <w:rPr>
          <w:rFonts w:ascii="Open Sans" w:eastAsia="Open Sans" w:hAnsi="Open Sans" w:cs="Open Sans"/>
          <w:sz w:val="20"/>
          <w:szCs w:val="20"/>
        </w:rPr>
      </w:pPr>
    </w:p>
    <w:p w14:paraId="78808CF8" w14:textId="77777777" w:rsidR="00015284" w:rsidRDefault="00951C14">
      <w:pPr>
        <w:pStyle w:val="Heading1"/>
      </w:pPr>
      <w:bookmarkStart w:id="4" w:name="_9wzfh6tp5r9l" w:colFirst="0" w:colLast="0"/>
      <w:bookmarkEnd w:id="4"/>
      <w:r>
        <w:lastRenderedPageBreak/>
        <w:t xml:space="preserve">Progress Toward EAV &amp; EAV Workshop Objectives </w:t>
      </w:r>
    </w:p>
    <w:p w14:paraId="76ACF493" w14:textId="77777777" w:rsidR="00015284" w:rsidRDefault="00951C14">
      <w:pPr>
        <w:pStyle w:val="Heading2"/>
        <w:spacing w:before="200"/>
      </w:pPr>
      <w:bookmarkStart w:id="5" w:name="_mv2qyykfo1sv" w:colFirst="0" w:colLast="0"/>
      <w:bookmarkEnd w:id="5"/>
      <w:r>
        <w:t>Objective 1: Update the EAV Framework, Its Scope, and Its Activities [COMPLETE]</w:t>
      </w:r>
    </w:p>
    <w:p w14:paraId="642F91FA" w14:textId="77777777" w:rsidR="00015284" w:rsidRDefault="00951C14">
      <w:pPr>
        <w:numPr>
          <w:ilvl w:val="0"/>
          <w:numId w:val="1"/>
        </w:numPr>
        <w:spacing w:before="40" w:line="240" w:lineRule="auto"/>
        <w:rPr>
          <w:rFonts w:ascii="Open Sans" w:eastAsia="Open Sans" w:hAnsi="Open Sans" w:cs="Open Sans"/>
          <w:b/>
          <w:sz w:val="20"/>
          <w:szCs w:val="20"/>
        </w:rPr>
      </w:pPr>
      <w:r>
        <w:rPr>
          <w:rFonts w:ascii="Open Sans" w:eastAsia="Open Sans" w:hAnsi="Open Sans" w:cs="Open Sans"/>
          <w:b/>
          <w:sz w:val="20"/>
          <w:szCs w:val="20"/>
        </w:rPr>
        <w:t xml:space="preserve">Agreement: Objectives of the EAV Consensus Framework </w:t>
      </w:r>
    </w:p>
    <w:p w14:paraId="1000174A" w14:textId="77777777" w:rsidR="00015284" w:rsidRDefault="00951C14">
      <w:pPr>
        <w:widowControl w:val="0"/>
        <w:numPr>
          <w:ilvl w:val="1"/>
          <w:numId w:val="1"/>
        </w:numPr>
        <w:spacing w:before="40" w:line="240" w:lineRule="auto"/>
        <w:rPr>
          <w:rFonts w:ascii="Open Sans" w:eastAsia="Open Sans" w:hAnsi="Open Sans" w:cs="Open Sans"/>
          <w:sz w:val="20"/>
          <w:szCs w:val="20"/>
        </w:rPr>
      </w:pPr>
      <w:r>
        <w:rPr>
          <w:rFonts w:ascii="Open Sans" w:eastAsia="Open Sans" w:hAnsi="Open Sans" w:cs="Open Sans"/>
          <w:sz w:val="20"/>
          <w:szCs w:val="20"/>
        </w:rPr>
        <w:t>Present a unified and authoritative approach to defining and implementing systematic agricultural assessments.</w:t>
      </w:r>
    </w:p>
    <w:p w14:paraId="6E8A21D6" w14:textId="77777777" w:rsidR="00015284" w:rsidRDefault="00951C14">
      <w:pPr>
        <w:widowControl w:val="0"/>
        <w:numPr>
          <w:ilvl w:val="1"/>
          <w:numId w:val="1"/>
        </w:numPr>
        <w:spacing w:before="40" w:line="240" w:lineRule="auto"/>
        <w:rPr>
          <w:rFonts w:ascii="Open Sans" w:eastAsia="Open Sans" w:hAnsi="Open Sans" w:cs="Open Sans"/>
          <w:sz w:val="20"/>
          <w:szCs w:val="20"/>
        </w:rPr>
      </w:pPr>
      <w:r>
        <w:rPr>
          <w:rFonts w:ascii="Open Sans" w:eastAsia="Open Sans" w:hAnsi="Open Sans" w:cs="Open Sans"/>
          <w:sz w:val="20"/>
          <w:szCs w:val="20"/>
        </w:rPr>
        <w:t>Provide consensus, use-agnostic definitions for measurements and quality assessments of agriculture state, change, and forecast.</w:t>
      </w:r>
    </w:p>
    <w:p w14:paraId="4440F22C" w14:textId="77777777" w:rsidR="00015284" w:rsidRDefault="00951C14">
      <w:pPr>
        <w:widowControl w:val="0"/>
        <w:numPr>
          <w:ilvl w:val="1"/>
          <w:numId w:val="1"/>
        </w:numPr>
        <w:spacing w:before="40" w:line="240" w:lineRule="auto"/>
        <w:rPr>
          <w:rFonts w:ascii="Open Sans" w:eastAsia="Open Sans" w:hAnsi="Open Sans" w:cs="Open Sans"/>
          <w:sz w:val="20"/>
          <w:szCs w:val="20"/>
        </w:rPr>
      </w:pPr>
      <w:r>
        <w:rPr>
          <w:rFonts w:ascii="Open Sans" w:eastAsia="Open Sans" w:hAnsi="Open Sans" w:cs="Open Sans"/>
          <w:sz w:val="20"/>
          <w:szCs w:val="20"/>
        </w:rPr>
        <w:t>Provide a communication tool for bridging gaps with non-satellite communities</w:t>
      </w:r>
    </w:p>
    <w:p w14:paraId="0A975D53" w14:textId="77777777" w:rsidR="00015284" w:rsidRDefault="00951C14">
      <w:pPr>
        <w:widowControl w:val="0"/>
        <w:numPr>
          <w:ilvl w:val="1"/>
          <w:numId w:val="1"/>
        </w:numPr>
        <w:spacing w:before="40" w:line="240" w:lineRule="auto"/>
        <w:rPr>
          <w:rFonts w:ascii="Open Sans" w:eastAsia="Open Sans" w:hAnsi="Open Sans" w:cs="Open Sans"/>
          <w:sz w:val="20"/>
          <w:szCs w:val="20"/>
        </w:rPr>
      </w:pPr>
      <w:r>
        <w:rPr>
          <w:rFonts w:ascii="Open Sans" w:eastAsia="Open Sans" w:hAnsi="Open Sans" w:cs="Open Sans"/>
          <w:sz w:val="20"/>
          <w:szCs w:val="20"/>
        </w:rPr>
        <w:t>Create a path to concretely embed satellite observations within agriculture decisions.</w:t>
      </w:r>
    </w:p>
    <w:p w14:paraId="6BE3FCBC" w14:textId="77777777" w:rsidR="00015284" w:rsidRDefault="00951C14">
      <w:pPr>
        <w:widowControl w:val="0"/>
        <w:numPr>
          <w:ilvl w:val="1"/>
          <w:numId w:val="1"/>
        </w:numPr>
        <w:spacing w:before="40" w:line="240" w:lineRule="auto"/>
        <w:rPr>
          <w:rFonts w:ascii="Open Sans" w:eastAsia="Open Sans" w:hAnsi="Open Sans" w:cs="Open Sans"/>
          <w:sz w:val="20"/>
          <w:szCs w:val="20"/>
        </w:rPr>
      </w:pPr>
      <w:r>
        <w:rPr>
          <w:rFonts w:ascii="Open Sans" w:eastAsia="Open Sans" w:hAnsi="Open Sans" w:cs="Open Sans"/>
          <w:sz w:val="20"/>
          <w:szCs w:val="20"/>
        </w:rPr>
        <w:t xml:space="preserve">Set requirements tightly linked to use for delivery of data and data systems from existing satellites and for future mission planning, to assist space agencies (and CEOS) in their decision making around those topics. </w:t>
      </w:r>
    </w:p>
    <w:p w14:paraId="2463B25B" w14:textId="77777777" w:rsidR="00015284" w:rsidRDefault="00951C14">
      <w:pPr>
        <w:widowControl w:val="0"/>
        <w:numPr>
          <w:ilvl w:val="1"/>
          <w:numId w:val="1"/>
        </w:numPr>
        <w:spacing w:before="40" w:line="240" w:lineRule="auto"/>
        <w:rPr>
          <w:rFonts w:ascii="Open Sans" w:eastAsia="Open Sans" w:hAnsi="Open Sans" w:cs="Open Sans"/>
          <w:sz w:val="20"/>
          <w:szCs w:val="20"/>
        </w:rPr>
      </w:pPr>
      <w:r>
        <w:rPr>
          <w:rFonts w:ascii="Open Sans" w:eastAsia="Open Sans" w:hAnsi="Open Sans" w:cs="Open Sans"/>
          <w:sz w:val="20"/>
          <w:szCs w:val="20"/>
        </w:rPr>
        <w:t>Maintain (and grow) GEOGLAM as the international EO-for-ag authority.</w:t>
      </w:r>
    </w:p>
    <w:p w14:paraId="1FBE22DB" w14:textId="77777777" w:rsidR="00015284" w:rsidRDefault="00951C14">
      <w:pPr>
        <w:numPr>
          <w:ilvl w:val="0"/>
          <w:numId w:val="1"/>
        </w:numPr>
        <w:spacing w:before="40" w:line="240" w:lineRule="auto"/>
        <w:rPr>
          <w:rFonts w:ascii="Open Sans" w:eastAsia="Open Sans" w:hAnsi="Open Sans" w:cs="Open Sans"/>
          <w:b/>
          <w:sz w:val="20"/>
          <w:szCs w:val="20"/>
        </w:rPr>
      </w:pPr>
      <w:r>
        <w:rPr>
          <w:rFonts w:ascii="Open Sans" w:eastAsia="Open Sans" w:hAnsi="Open Sans" w:cs="Open Sans"/>
          <w:b/>
          <w:sz w:val="20"/>
          <w:szCs w:val="20"/>
        </w:rPr>
        <w:t>Agreement: Framework for thinking about and documenting EAVs (Figure 1):</w:t>
      </w:r>
    </w:p>
    <w:p w14:paraId="5C4BDE35" w14:textId="77777777" w:rsidR="00015284" w:rsidRDefault="00951C14">
      <w:pPr>
        <w:numPr>
          <w:ilvl w:val="1"/>
          <w:numId w:val="1"/>
        </w:numPr>
        <w:rPr>
          <w:rFonts w:ascii="Open Sans" w:eastAsia="Open Sans" w:hAnsi="Open Sans" w:cs="Open Sans"/>
          <w:sz w:val="20"/>
          <w:szCs w:val="20"/>
        </w:rPr>
      </w:pPr>
      <w:r>
        <w:rPr>
          <w:rFonts w:ascii="Open Sans" w:eastAsia="Open Sans" w:hAnsi="Open Sans" w:cs="Open Sans"/>
          <w:b/>
          <w:sz w:val="20"/>
          <w:szCs w:val="20"/>
        </w:rPr>
        <w:t>Single set</w:t>
      </w:r>
      <w:r>
        <w:rPr>
          <w:rFonts w:ascii="Open Sans" w:eastAsia="Open Sans" w:hAnsi="Open Sans" w:cs="Open Sans"/>
          <w:sz w:val="20"/>
          <w:szCs w:val="20"/>
        </w:rPr>
        <w:t xml:space="preserve"> of scale and use-independent </w:t>
      </w:r>
      <w:r>
        <w:rPr>
          <w:rFonts w:ascii="Open Sans" w:eastAsia="Open Sans" w:hAnsi="Open Sans" w:cs="Open Sans"/>
          <w:sz w:val="20"/>
          <w:szCs w:val="20"/>
          <w:u w:val="single"/>
        </w:rPr>
        <w:t>List</w:t>
      </w:r>
      <w:r>
        <w:rPr>
          <w:rFonts w:ascii="Open Sans" w:eastAsia="Open Sans" w:hAnsi="Open Sans" w:cs="Open Sans"/>
          <w:sz w:val="20"/>
          <w:szCs w:val="20"/>
        </w:rPr>
        <w:t xml:space="preserve"> and </w:t>
      </w:r>
      <w:r>
        <w:rPr>
          <w:rFonts w:ascii="Open Sans" w:eastAsia="Open Sans" w:hAnsi="Open Sans" w:cs="Open Sans"/>
          <w:sz w:val="20"/>
          <w:szCs w:val="20"/>
          <w:u w:val="single"/>
        </w:rPr>
        <w:t>Definitions</w:t>
      </w:r>
      <w:r>
        <w:rPr>
          <w:rFonts w:ascii="Open Sans" w:eastAsia="Open Sans" w:hAnsi="Open Sans" w:cs="Open Sans"/>
          <w:sz w:val="20"/>
          <w:szCs w:val="20"/>
        </w:rPr>
        <w:t xml:space="preserve"> for all EAVs</w:t>
      </w:r>
    </w:p>
    <w:p w14:paraId="65988F5D" w14:textId="34F79918" w:rsidR="00015284" w:rsidRDefault="00951C14">
      <w:pPr>
        <w:numPr>
          <w:ilvl w:val="2"/>
          <w:numId w:val="1"/>
        </w:numPr>
        <w:rPr>
          <w:rFonts w:ascii="Open Sans" w:eastAsia="Open Sans" w:hAnsi="Open Sans" w:cs="Open Sans"/>
          <w:sz w:val="20"/>
          <w:szCs w:val="20"/>
        </w:rPr>
      </w:pPr>
      <w:r>
        <w:rPr>
          <w:rFonts w:ascii="Open Sans" w:eastAsia="Open Sans" w:hAnsi="Open Sans" w:cs="Open Sans"/>
          <w:sz w:val="20"/>
          <w:szCs w:val="20"/>
        </w:rPr>
        <w:t xml:space="preserve">And, supporting information </w:t>
      </w:r>
      <w:r w:rsidR="001A1AB9">
        <w:rPr>
          <w:rFonts w:ascii="Open Sans" w:eastAsia="Open Sans" w:hAnsi="Open Sans" w:cs="Open Sans"/>
          <w:sz w:val="20"/>
          <w:szCs w:val="20"/>
        </w:rPr>
        <w:t xml:space="preserve">such </w:t>
      </w:r>
      <w:proofErr w:type="gramStart"/>
      <w:r w:rsidR="001A1AB9">
        <w:rPr>
          <w:rFonts w:ascii="Open Sans" w:eastAsia="Open Sans" w:hAnsi="Open Sans" w:cs="Open Sans"/>
          <w:sz w:val="20"/>
          <w:szCs w:val="20"/>
        </w:rPr>
        <w:t xml:space="preserve">as </w:t>
      </w:r>
      <w:r>
        <w:rPr>
          <w:rFonts w:ascii="Open Sans" w:eastAsia="Open Sans" w:hAnsi="Open Sans" w:cs="Open Sans"/>
          <w:sz w:val="20"/>
          <w:szCs w:val="20"/>
        </w:rPr>
        <w:t xml:space="preserve"> suggested</w:t>
      </w:r>
      <w:proofErr w:type="gramEnd"/>
      <w:r>
        <w:rPr>
          <w:rFonts w:ascii="Open Sans" w:eastAsia="Open Sans" w:hAnsi="Open Sans" w:cs="Open Sans"/>
          <w:sz w:val="20"/>
          <w:szCs w:val="20"/>
        </w:rPr>
        <w:t xml:space="preserve"> typologies, hierarchies, measurement specifications (e.g. depth, height), and </w:t>
      </w:r>
      <w:proofErr w:type="gramStart"/>
      <w:r>
        <w:rPr>
          <w:rFonts w:ascii="Open Sans" w:eastAsia="Open Sans" w:hAnsi="Open Sans" w:cs="Open Sans"/>
          <w:sz w:val="20"/>
          <w:szCs w:val="20"/>
        </w:rPr>
        <w:t>good-practices</w:t>
      </w:r>
      <w:proofErr w:type="gramEnd"/>
      <w:r>
        <w:rPr>
          <w:rFonts w:ascii="Open Sans" w:eastAsia="Open Sans" w:hAnsi="Open Sans" w:cs="Open Sans"/>
          <w:sz w:val="20"/>
          <w:szCs w:val="20"/>
        </w:rPr>
        <w:t xml:space="preserve"> for accuracy assessment of those </w:t>
      </w:r>
      <w:proofErr w:type="gramStart"/>
      <w:r>
        <w:rPr>
          <w:rFonts w:ascii="Open Sans" w:eastAsia="Open Sans" w:hAnsi="Open Sans" w:cs="Open Sans"/>
          <w:sz w:val="20"/>
          <w:szCs w:val="20"/>
        </w:rPr>
        <w:t>EAVs;</w:t>
      </w:r>
      <w:proofErr w:type="gramEnd"/>
    </w:p>
    <w:p w14:paraId="28C0C325" w14:textId="77777777" w:rsidR="00015284" w:rsidRDefault="00951C14">
      <w:pPr>
        <w:numPr>
          <w:ilvl w:val="1"/>
          <w:numId w:val="1"/>
        </w:numPr>
        <w:rPr>
          <w:rFonts w:ascii="Open Sans" w:eastAsia="Open Sans" w:hAnsi="Open Sans" w:cs="Open Sans"/>
          <w:sz w:val="20"/>
          <w:szCs w:val="20"/>
        </w:rPr>
      </w:pPr>
      <w:r>
        <w:rPr>
          <w:rFonts w:ascii="Open Sans" w:eastAsia="Open Sans" w:hAnsi="Open Sans" w:cs="Open Sans"/>
          <w:b/>
          <w:sz w:val="20"/>
          <w:szCs w:val="20"/>
        </w:rPr>
        <w:t xml:space="preserve">Dual or multiple sets </w:t>
      </w:r>
      <w:r>
        <w:rPr>
          <w:rFonts w:ascii="Open Sans" w:eastAsia="Open Sans" w:hAnsi="Open Sans" w:cs="Open Sans"/>
          <w:sz w:val="20"/>
          <w:szCs w:val="20"/>
        </w:rPr>
        <w:t xml:space="preserve">of </w:t>
      </w:r>
      <w:r>
        <w:rPr>
          <w:rFonts w:ascii="Open Sans" w:eastAsia="Open Sans" w:hAnsi="Open Sans" w:cs="Open Sans"/>
          <w:sz w:val="20"/>
          <w:szCs w:val="20"/>
          <w:u w:val="single"/>
        </w:rPr>
        <w:t>requirements</w:t>
      </w:r>
      <w:r>
        <w:rPr>
          <w:rFonts w:ascii="Open Sans" w:eastAsia="Open Sans" w:hAnsi="Open Sans" w:cs="Open Sans"/>
          <w:sz w:val="20"/>
          <w:szCs w:val="20"/>
        </w:rPr>
        <w:t xml:space="preserve">, </w:t>
      </w:r>
      <w:r>
        <w:rPr>
          <w:rFonts w:ascii="Open Sans" w:eastAsia="Open Sans" w:hAnsi="Open Sans" w:cs="Open Sans"/>
          <w:sz w:val="20"/>
          <w:szCs w:val="20"/>
          <w:u w:val="single"/>
        </w:rPr>
        <w:t>inventory</w:t>
      </w:r>
      <w:r>
        <w:rPr>
          <w:rFonts w:ascii="Open Sans" w:eastAsia="Open Sans" w:hAnsi="Open Sans" w:cs="Open Sans"/>
          <w:sz w:val="20"/>
          <w:szCs w:val="20"/>
        </w:rPr>
        <w:t xml:space="preserve"> (result of the </w:t>
      </w:r>
      <w:proofErr w:type="spellStart"/>
      <w:r>
        <w:rPr>
          <w:rFonts w:ascii="Open Sans" w:eastAsia="Open Sans" w:hAnsi="Open Sans" w:cs="Open Sans"/>
          <w:sz w:val="20"/>
          <w:szCs w:val="20"/>
        </w:rPr>
        <w:t>stocktake</w:t>
      </w:r>
      <w:proofErr w:type="spellEnd"/>
      <w:r>
        <w:rPr>
          <w:rFonts w:ascii="Open Sans" w:eastAsia="Open Sans" w:hAnsi="Open Sans" w:cs="Open Sans"/>
          <w:sz w:val="20"/>
          <w:szCs w:val="20"/>
        </w:rPr>
        <w:t xml:space="preserve">), </w:t>
      </w:r>
      <w:r>
        <w:rPr>
          <w:rFonts w:ascii="Open Sans" w:eastAsia="Open Sans" w:hAnsi="Open Sans" w:cs="Open Sans"/>
          <w:sz w:val="20"/>
          <w:szCs w:val="20"/>
          <w:u w:val="single"/>
        </w:rPr>
        <w:t>gap analysis</w:t>
      </w:r>
      <w:r>
        <w:rPr>
          <w:rFonts w:ascii="Open Sans" w:eastAsia="Open Sans" w:hAnsi="Open Sans" w:cs="Open Sans"/>
          <w:sz w:val="20"/>
          <w:szCs w:val="20"/>
        </w:rPr>
        <w:t xml:space="preserve">, and </w:t>
      </w:r>
      <w:proofErr w:type="spellStart"/>
      <w:r>
        <w:rPr>
          <w:rFonts w:ascii="Open Sans" w:eastAsia="Open Sans" w:hAnsi="Open Sans" w:cs="Open Sans"/>
          <w:sz w:val="20"/>
          <w:szCs w:val="20"/>
          <w:u w:val="single"/>
        </w:rPr>
        <w:t>prioritisation</w:t>
      </w:r>
      <w:proofErr w:type="spellEnd"/>
      <w:r>
        <w:rPr>
          <w:rFonts w:ascii="Open Sans" w:eastAsia="Open Sans" w:hAnsi="Open Sans" w:cs="Open Sans"/>
          <w:sz w:val="20"/>
          <w:szCs w:val="20"/>
        </w:rPr>
        <w:t xml:space="preserve"> for:</w:t>
      </w:r>
    </w:p>
    <w:p w14:paraId="060B2C8D" w14:textId="77777777" w:rsidR="00015284" w:rsidRDefault="00951C14">
      <w:pPr>
        <w:numPr>
          <w:ilvl w:val="2"/>
          <w:numId w:val="1"/>
        </w:numPr>
        <w:rPr>
          <w:rFonts w:ascii="Open Sans" w:eastAsia="Open Sans" w:hAnsi="Open Sans" w:cs="Open Sans"/>
          <w:sz w:val="20"/>
          <w:szCs w:val="20"/>
        </w:rPr>
      </w:pPr>
      <w:r>
        <w:rPr>
          <w:rFonts w:ascii="Open Sans" w:eastAsia="Open Sans" w:hAnsi="Open Sans" w:cs="Open Sans"/>
          <w:sz w:val="20"/>
          <w:szCs w:val="20"/>
        </w:rPr>
        <w:t xml:space="preserve">scale- and “broad-use” dependent </w:t>
      </w:r>
      <w:r>
        <w:rPr>
          <w:rFonts w:ascii="Open Sans" w:eastAsia="Open Sans" w:hAnsi="Open Sans" w:cs="Open Sans"/>
          <w:b/>
          <w:sz w:val="20"/>
          <w:szCs w:val="20"/>
        </w:rPr>
        <w:t>input EAVs</w:t>
      </w:r>
      <w:r>
        <w:rPr>
          <w:rFonts w:ascii="Open Sans" w:eastAsia="Open Sans" w:hAnsi="Open Sans" w:cs="Open Sans"/>
          <w:sz w:val="20"/>
          <w:szCs w:val="20"/>
        </w:rPr>
        <w:t xml:space="preserve"> (input EAVs describe weather, environmental, hydrological, biophysical, geophysical, etc. variables that are generally not sufficient on their own for decision support, but which are the invaluable inputs into the decision-relevant “agriculture information EAVs”</w:t>
      </w:r>
      <w:proofErr w:type="gramStart"/>
      <w:r>
        <w:rPr>
          <w:rFonts w:ascii="Open Sans" w:eastAsia="Open Sans" w:hAnsi="Open Sans" w:cs="Open Sans"/>
          <w:sz w:val="20"/>
          <w:szCs w:val="20"/>
        </w:rPr>
        <w:t>);</w:t>
      </w:r>
      <w:proofErr w:type="gramEnd"/>
    </w:p>
    <w:p w14:paraId="75B8C2FC" w14:textId="77777777" w:rsidR="00015284" w:rsidRDefault="00951C14">
      <w:pPr>
        <w:numPr>
          <w:ilvl w:val="2"/>
          <w:numId w:val="1"/>
        </w:numPr>
        <w:rPr>
          <w:rFonts w:ascii="Open Sans" w:eastAsia="Open Sans" w:hAnsi="Open Sans" w:cs="Open Sans"/>
          <w:sz w:val="20"/>
          <w:szCs w:val="20"/>
        </w:rPr>
      </w:pPr>
      <w:r>
        <w:rPr>
          <w:rFonts w:ascii="Open Sans" w:eastAsia="Open Sans" w:hAnsi="Open Sans" w:cs="Open Sans"/>
          <w:sz w:val="20"/>
          <w:szCs w:val="20"/>
        </w:rPr>
        <w:t xml:space="preserve">highly user-specific </w:t>
      </w:r>
      <w:r>
        <w:rPr>
          <w:rFonts w:ascii="Open Sans" w:eastAsia="Open Sans" w:hAnsi="Open Sans" w:cs="Open Sans"/>
          <w:b/>
          <w:sz w:val="20"/>
          <w:szCs w:val="20"/>
        </w:rPr>
        <w:t>agriculture information EAVs</w:t>
      </w:r>
      <w:r>
        <w:rPr>
          <w:rFonts w:ascii="Open Sans" w:eastAsia="Open Sans" w:hAnsi="Open Sans" w:cs="Open Sans"/>
          <w:sz w:val="20"/>
          <w:szCs w:val="20"/>
        </w:rPr>
        <w:t xml:space="preserve">.  </w:t>
      </w:r>
    </w:p>
    <w:p w14:paraId="4C1D2C5E" w14:textId="77777777" w:rsidR="00015284" w:rsidRDefault="00951C14">
      <w:pPr>
        <w:numPr>
          <w:ilvl w:val="0"/>
          <w:numId w:val="1"/>
        </w:numPr>
        <w:spacing w:before="40" w:line="240" w:lineRule="auto"/>
        <w:rPr>
          <w:rFonts w:ascii="Open Sans" w:eastAsia="Open Sans" w:hAnsi="Open Sans" w:cs="Open Sans"/>
          <w:b/>
          <w:sz w:val="20"/>
          <w:szCs w:val="20"/>
        </w:rPr>
      </w:pPr>
      <w:r>
        <w:rPr>
          <w:rFonts w:ascii="Open Sans" w:eastAsia="Open Sans" w:hAnsi="Open Sans" w:cs="Open Sans"/>
          <w:b/>
          <w:sz w:val="20"/>
          <w:szCs w:val="20"/>
        </w:rPr>
        <w:t>Agreement: The sequence of effort in the EAV activity (Figure 1):</w:t>
      </w:r>
    </w:p>
    <w:p w14:paraId="163BDE81" w14:textId="77777777" w:rsidR="00015284" w:rsidRDefault="00951C14">
      <w:pPr>
        <w:numPr>
          <w:ilvl w:val="1"/>
          <w:numId w:val="1"/>
        </w:numPr>
        <w:spacing w:before="40" w:line="240" w:lineRule="auto"/>
        <w:rPr>
          <w:rFonts w:ascii="Open Sans" w:eastAsia="Open Sans" w:hAnsi="Open Sans" w:cs="Open Sans"/>
          <w:sz w:val="20"/>
          <w:szCs w:val="20"/>
        </w:rPr>
      </w:pPr>
      <w:r>
        <w:rPr>
          <w:rFonts w:ascii="Open Sans" w:eastAsia="Open Sans" w:hAnsi="Open Sans" w:cs="Open Sans"/>
          <w:sz w:val="20"/>
          <w:szCs w:val="20"/>
        </w:rPr>
        <w:t>Agree upon a list and single set of definitions &amp; descriptions</w:t>
      </w:r>
    </w:p>
    <w:p w14:paraId="11D3B1DD" w14:textId="77777777" w:rsidR="00015284" w:rsidRDefault="00951C14">
      <w:pPr>
        <w:numPr>
          <w:ilvl w:val="2"/>
          <w:numId w:val="1"/>
        </w:numPr>
        <w:spacing w:before="40" w:line="240" w:lineRule="auto"/>
        <w:rPr>
          <w:rFonts w:ascii="Open Sans" w:eastAsia="Open Sans" w:hAnsi="Open Sans" w:cs="Open Sans"/>
          <w:sz w:val="20"/>
          <w:szCs w:val="20"/>
        </w:rPr>
      </w:pPr>
      <w:r>
        <w:rPr>
          <w:rFonts w:ascii="Open Sans" w:eastAsia="Open Sans" w:hAnsi="Open Sans" w:cs="Open Sans"/>
          <w:sz w:val="20"/>
          <w:szCs w:val="20"/>
        </w:rPr>
        <w:t xml:space="preserve">Consistent regardless of scale, including guidelines for typologies, hierarchies, good practices for validation etc.; </w:t>
      </w:r>
      <w:proofErr w:type="gramStart"/>
      <w:r>
        <w:rPr>
          <w:rFonts w:ascii="Open Sans" w:eastAsia="Open Sans" w:hAnsi="Open Sans" w:cs="Open Sans"/>
          <w:sz w:val="20"/>
          <w:szCs w:val="20"/>
        </w:rPr>
        <w:t>cross-cut</w:t>
      </w:r>
      <w:proofErr w:type="gramEnd"/>
      <w:r>
        <w:rPr>
          <w:rFonts w:ascii="Open Sans" w:eastAsia="Open Sans" w:hAnsi="Open Sans" w:cs="Open Sans"/>
          <w:sz w:val="20"/>
          <w:szCs w:val="20"/>
        </w:rPr>
        <w:t xml:space="preserve"> with ECVs/EWVs/EBVs</w:t>
      </w:r>
    </w:p>
    <w:p w14:paraId="015B2B34" w14:textId="77777777" w:rsidR="00015284" w:rsidRDefault="00951C14">
      <w:pPr>
        <w:numPr>
          <w:ilvl w:val="1"/>
          <w:numId w:val="1"/>
        </w:numPr>
        <w:spacing w:before="40" w:line="240" w:lineRule="auto"/>
        <w:rPr>
          <w:rFonts w:ascii="Open Sans" w:eastAsia="Open Sans" w:hAnsi="Open Sans" w:cs="Open Sans"/>
          <w:sz w:val="20"/>
          <w:szCs w:val="20"/>
        </w:rPr>
      </w:pPr>
      <w:r>
        <w:rPr>
          <w:rFonts w:ascii="Open Sans" w:eastAsia="Open Sans" w:hAnsi="Open Sans" w:cs="Open Sans"/>
          <w:sz w:val="20"/>
          <w:szCs w:val="20"/>
        </w:rPr>
        <w:t>Articulate EAV product requirements for different uses (Temporal, spatial, latency, accuracy)</w:t>
      </w:r>
    </w:p>
    <w:p w14:paraId="21951B0C" w14:textId="77777777" w:rsidR="00015284" w:rsidRDefault="00951C14">
      <w:pPr>
        <w:numPr>
          <w:ilvl w:val="1"/>
          <w:numId w:val="1"/>
        </w:numPr>
        <w:spacing w:before="40" w:line="240" w:lineRule="auto"/>
        <w:rPr>
          <w:rFonts w:ascii="Open Sans" w:eastAsia="Open Sans" w:hAnsi="Open Sans" w:cs="Open Sans"/>
          <w:sz w:val="20"/>
          <w:szCs w:val="20"/>
        </w:rPr>
      </w:pPr>
      <w:r>
        <w:rPr>
          <w:rFonts w:ascii="Open Sans" w:eastAsia="Open Sans" w:hAnsi="Open Sans" w:cs="Open Sans"/>
          <w:sz w:val="20"/>
          <w:szCs w:val="20"/>
        </w:rPr>
        <w:t>Corresponding with each use, take stock of past, current, and planned:</w:t>
      </w:r>
    </w:p>
    <w:p w14:paraId="703B54D4" w14:textId="77777777" w:rsidR="00015284" w:rsidRDefault="00951C14">
      <w:pPr>
        <w:numPr>
          <w:ilvl w:val="2"/>
          <w:numId w:val="1"/>
        </w:numPr>
        <w:spacing w:before="40" w:line="240" w:lineRule="auto"/>
        <w:rPr>
          <w:rFonts w:ascii="Open Sans" w:eastAsia="Open Sans" w:hAnsi="Open Sans" w:cs="Open Sans"/>
          <w:sz w:val="20"/>
          <w:szCs w:val="20"/>
        </w:rPr>
      </w:pPr>
      <w:r>
        <w:rPr>
          <w:rFonts w:ascii="Open Sans" w:eastAsia="Open Sans" w:hAnsi="Open Sans" w:cs="Open Sans"/>
          <w:sz w:val="20"/>
          <w:szCs w:val="20"/>
        </w:rPr>
        <w:t>Methods, projects, systems, and satellite instruments satellite instruments</w:t>
      </w:r>
    </w:p>
    <w:p w14:paraId="2F323A92" w14:textId="77777777" w:rsidR="00015284" w:rsidRDefault="00951C14">
      <w:pPr>
        <w:numPr>
          <w:ilvl w:val="2"/>
          <w:numId w:val="1"/>
        </w:numPr>
        <w:spacing w:before="40" w:line="240" w:lineRule="auto"/>
        <w:rPr>
          <w:rFonts w:ascii="Open Sans" w:eastAsia="Open Sans" w:hAnsi="Open Sans" w:cs="Open Sans"/>
          <w:sz w:val="20"/>
          <w:szCs w:val="20"/>
        </w:rPr>
      </w:pPr>
      <w:r>
        <w:rPr>
          <w:rFonts w:ascii="Open Sans" w:eastAsia="Open Sans" w:hAnsi="Open Sans" w:cs="Open Sans"/>
          <w:sz w:val="20"/>
          <w:szCs w:val="20"/>
        </w:rPr>
        <w:t>State of use/uptake where relevant</w:t>
      </w:r>
    </w:p>
    <w:p w14:paraId="34FDC456" w14:textId="77777777" w:rsidR="00015284" w:rsidRDefault="00951C14">
      <w:pPr>
        <w:numPr>
          <w:ilvl w:val="1"/>
          <w:numId w:val="1"/>
        </w:numPr>
        <w:spacing w:before="40" w:line="240" w:lineRule="auto"/>
        <w:rPr>
          <w:rFonts w:ascii="Open Sans" w:eastAsia="Open Sans" w:hAnsi="Open Sans" w:cs="Open Sans"/>
          <w:b/>
          <w:sz w:val="20"/>
          <w:szCs w:val="20"/>
        </w:rPr>
      </w:pPr>
      <w:r>
        <w:rPr>
          <w:rFonts w:ascii="Open Sans" w:eastAsia="Open Sans" w:hAnsi="Open Sans" w:cs="Open Sans"/>
          <w:sz w:val="20"/>
          <w:szCs w:val="20"/>
        </w:rPr>
        <w:t xml:space="preserve">Corresponding with each use, </w:t>
      </w:r>
      <w:proofErr w:type="spellStart"/>
      <w:r>
        <w:rPr>
          <w:rFonts w:ascii="Open Sans" w:eastAsia="Open Sans" w:hAnsi="Open Sans" w:cs="Open Sans"/>
          <w:sz w:val="20"/>
          <w:szCs w:val="20"/>
        </w:rPr>
        <w:t>analyse</w:t>
      </w:r>
      <w:proofErr w:type="spellEnd"/>
      <w:r>
        <w:rPr>
          <w:rFonts w:ascii="Open Sans" w:eastAsia="Open Sans" w:hAnsi="Open Sans" w:cs="Open Sans"/>
          <w:sz w:val="20"/>
          <w:szCs w:val="20"/>
        </w:rPr>
        <w:t xml:space="preserve"> gaps in EAV products and their sources (e.g. observation characteristics, method maturity and quality, etc.)</w:t>
      </w:r>
    </w:p>
    <w:p w14:paraId="0661F428" w14:textId="77777777" w:rsidR="00015284" w:rsidRDefault="00951C14">
      <w:pPr>
        <w:numPr>
          <w:ilvl w:val="1"/>
          <w:numId w:val="1"/>
        </w:numPr>
        <w:spacing w:before="40" w:line="240" w:lineRule="auto"/>
        <w:rPr>
          <w:rFonts w:ascii="Open Sans" w:eastAsia="Open Sans" w:hAnsi="Open Sans" w:cs="Open Sans"/>
          <w:sz w:val="20"/>
          <w:szCs w:val="20"/>
        </w:rPr>
      </w:pPr>
      <w:r>
        <w:rPr>
          <w:rFonts w:ascii="Open Sans" w:eastAsia="Open Sans" w:hAnsi="Open Sans" w:cs="Open Sans"/>
          <w:sz w:val="20"/>
          <w:szCs w:val="20"/>
        </w:rPr>
        <w:t xml:space="preserve">Distillation and </w:t>
      </w:r>
      <w:proofErr w:type="spellStart"/>
      <w:r>
        <w:rPr>
          <w:rFonts w:ascii="Open Sans" w:eastAsia="Open Sans" w:hAnsi="Open Sans" w:cs="Open Sans"/>
          <w:sz w:val="20"/>
          <w:szCs w:val="20"/>
        </w:rPr>
        <w:t>prioritisation</w:t>
      </w:r>
      <w:proofErr w:type="spellEnd"/>
      <w:r>
        <w:rPr>
          <w:rFonts w:ascii="Open Sans" w:eastAsia="Open Sans" w:hAnsi="Open Sans" w:cs="Open Sans"/>
          <w:sz w:val="20"/>
          <w:szCs w:val="20"/>
        </w:rPr>
        <w:t xml:space="preserve"> of gaps to resolve, with targeted requests to “EAV Audiences”</w:t>
      </w:r>
    </w:p>
    <w:p w14:paraId="76E05EFF" w14:textId="77777777" w:rsidR="00015284" w:rsidRDefault="00951C14">
      <w:pPr>
        <w:numPr>
          <w:ilvl w:val="0"/>
          <w:numId w:val="1"/>
        </w:numPr>
        <w:rPr>
          <w:rFonts w:ascii="Open Sans" w:eastAsia="Open Sans" w:hAnsi="Open Sans" w:cs="Open Sans"/>
          <w:b/>
          <w:sz w:val="20"/>
          <w:szCs w:val="20"/>
        </w:rPr>
      </w:pPr>
      <w:r>
        <w:rPr>
          <w:rFonts w:ascii="Open Sans" w:eastAsia="Open Sans" w:hAnsi="Open Sans" w:cs="Open Sans"/>
          <w:b/>
          <w:sz w:val="20"/>
          <w:szCs w:val="20"/>
        </w:rPr>
        <w:lastRenderedPageBreak/>
        <w:t xml:space="preserve">Agreement: The list of specific users and types of uses of satellite-based EAVs that will be considered in GEOGLAM’s </w:t>
      </w:r>
      <w:proofErr w:type="spellStart"/>
      <w:r>
        <w:rPr>
          <w:rFonts w:ascii="Open Sans" w:eastAsia="Open Sans" w:hAnsi="Open Sans" w:cs="Open Sans"/>
          <w:b/>
          <w:sz w:val="20"/>
          <w:szCs w:val="20"/>
        </w:rPr>
        <w:t>characterisation</w:t>
      </w:r>
      <w:proofErr w:type="spellEnd"/>
      <w:r>
        <w:rPr>
          <w:rFonts w:ascii="Open Sans" w:eastAsia="Open Sans" w:hAnsi="Open Sans" w:cs="Open Sans"/>
          <w:b/>
          <w:sz w:val="20"/>
          <w:szCs w:val="20"/>
        </w:rPr>
        <w:t xml:space="preserve">, </w:t>
      </w:r>
      <w:proofErr w:type="spellStart"/>
      <w:r>
        <w:rPr>
          <w:rFonts w:ascii="Open Sans" w:eastAsia="Open Sans" w:hAnsi="Open Sans" w:cs="Open Sans"/>
          <w:b/>
          <w:sz w:val="20"/>
          <w:szCs w:val="20"/>
        </w:rPr>
        <w:t>stocktake</w:t>
      </w:r>
      <w:proofErr w:type="spellEnd"/>
      <w:r>
        <w:rPr>
          <w:rFonts w:ascii="Open Sans" w:eastAsia="Open Sans" w:hAnsi="Open Sans" w:cs="Open Sans"/>
          <w:b/>
          <w:sz w:val="20"/>
          <w:szCs w:val="20"/>
        </w:rPr>
        <w:t>, and gap analysis of the EAVs:</w:t>
      </w:r>
    </w:p>
    <w:p w14:paraId="18A94CE2" w14:textId="77777777" w:rsidR="00015284" w:rsidRDefault="00951C14">
      <w:pPr>
        <w:numPr>
          <w:ilvl w:val="1"/>
          <w:numId w:val="1"/>
        </w:numPr>
        <w:spacing w:line="240" w:lineRule="auto"/>
        <w:rPr>
          <w:rFonts w:ascii="Open Sans" w:eastAsia="Open Sans" w:hAnsi="Open Sans" w:cs="Open Sans"/>
          <w:sz w:val="20"/>
          <w:szCs w:val="20"/>
        </w:rPr>
      </w:pPr>
      <w:r>
        <w:rPr>
          <w:rFonts w:ascii="Open Sans" w:eastAsia="Open Sans" w:hAnsi="Open Sans" w:cs="Open Sans"/>
          <w:sz w:val="20"/>
          <w:szCs w:val="20"/>
        </w:rPr>
        <w:t>AMIS</w:t>
      </w:r>
    </w:p>
    <w:p w14:paraId="31F7317A" w14:textId="77777777" w:rsidR="00015284" w:rsidRDefault="00951C14">
      <w:pPr>
        <w:numPr>
          <w:ilvl w:val="1"/>
          <w:numId w:val="1"/>
        </w:numPr>
        <w:spacing w:line="240" w:lineRule="auto"/>
        <w:rPr>
          <w:rFonts w:ascii="Open Sans" w:eastAsia="Open Sans" w:hAnsi="Open Sans" w:cs="Open Sans"/>
          <w:sz w:val="20"/>
          <w:szCs w:val="20"/>
        </w:rPr>
      </w:pPr>
      <w:r>
        <w:rPr>
          <w:rFonts w:ascii="Open Sans" w:eastAsia="Open Sans" w:hAnsi="Open Sans" w:cs="Open Sans"/>
          <w:sz w:val="20"/>
          <w:szCs w:val="20"/>
        </w:rPr>
        <w:t>Early warning</w:t>
      </w:r>
    </w:p>
    <w:p w14:paraId="7331D1B6" w14:textId="77777777" w:rsidR="00015284" w:rsidRDefault="00951C14">
      <w:pPr>
        <w:numPr>
          <w:ilvl w:val="1"/>
          <w:numId w:val="1"/>
        </w:numPr>
        <w:spacing w:line="240" w:lineRule="auto"/>
        <w:rPr>
          <w:rFonts w:ascii="Open Sans" w:eastAsia="Open Sans" w:hAnsi="Open Sans" w:cs="Open Sans"/>
          <w:sz w:val="20"/>
          <w:szCs w:val="20"/>
        </w:rPr>
      </w:pPr>
      <w:r>
        <w:rPr>
          <w:rFonts w:ascii="Open Sans" w:eastAsia="Open Sans" w:hAnsi="Open Sans" w:cs="Open Sans"/>
          <w:sz w:val="20"/>
          <w:szCs w:val="20"/>
        </w:rPr>
        <w:t>Quantitative production forecasting</w:t>
      </w:r>
    </w:p>
    <w:p w14:paraId="59471C64" w14:textId="77777777" w:rsidR="00015284" w:rsidRDefault="00951C14">
      <w:pPr>
        <w:numPr>
          <w:ilvl w:val="1"/>
          <w:numId w:val="1"/>
        </w:numPr>
        <w:spacing w:line="240" w:lineRule="auto"/>
        <w:rPr>
          <w:rFonts w:ascii="Open Sans" w:eastAsia="Open Sans" w:hAnsi="Open Sans" w:cs="Open Sans"/>
          <w:sz w:val="20"/>
          <w:szCs w:val="20"/>
        </w:rPr>
      </w:pPr>
      <w:r>
        <w:rPr>
          <w:rFonts w:ascii="Open Sans" w:eastAsia="Open Sans" w:hAnsi="Open Sans" w:cs="Open Sans"/>
          <w:sz w:val="20"/>
          <w:szCs w:val="20"/>
        </w:rPr>
        <w:t>SDGs / UNFCCC (AFOLU) / UNCCD (LDN) etc.</w:t>
      </w:r>
    </w:p>
    <w:p w14:paraId="18190A1D" w14:textId="77777777" w:rsidR="00015284" w:rsidRDefault="00951C14">
      <w:pPr>
        <w:numPr>
          <w:ilvl w:val="1"/>
          <w:numId w:val="1"/>
        </w:numPr>
        <w:spacing w:line="240" w:lineRule="auto"/>
        <w:rPr>
          <w:rFonts w:ascii="Open Sans" w:eastAsia="Open Sans" w:hAnsi="Open Sans" w:cs="Open Sans"/>
          <w:sz w:val="20"/>
          <w:szCs w:val="20"/>
        </w:rPr>
      </w:pPr>
      <w:r>
        <w:rPr>
          <w:rFonts w:ascii="Open Sans" w:eastAsia="Open Sans" w:hAnsi="Open Sans" w:cs="Open Sans"/>
          <w:sz w:val="20"/>
          <w:szCs w:val="20"/>
        </w:rPr>
        <w:t>National statistics</w:t>
      </w:r>
    </w:p>
    <w:p w14:paraId="13A5AF96" w14:textId="77777777" w:rsidR="00015284" w:rsidRDefault="00951C14">
      <w:pPr>
        <w:numPr>
          <w:ilvl w:val="1"/>
          <w:numId w:val="1"/>
        </w:numPr>
        <w:spacing w:line="240" w:lineRule="auto"/>
        <w:rPr>
          <w:rFonts w:ascii="Open Sans" w:eastAsia="Open Sans" w:hAnsi="Open Sans" w:cs="Open Sans"/>
          <w:sz w:val="20"/>
          <w:szCs w:val="20"/>
        </w:rPr>
      </w:pPr>
      <w:r>
        <w:rPr>
          <w:rFonts w:ascii="Open Sans" w:eastAsia="Open Sans" w:hAnsi="Open Sans" w:cs="Open Sans"/>
          <w:sz w:val="20"/>
          <w:szCs w:val="20"/>
        </w:rPr>
        <w:t>Compliance / regulatory applications</w:t>
      </w:r>
    </w:p>
    <w:p w14:paraId="564DD80B" w14:textId="77777777" w:rsidR="00015284" w:rsidRDefault="00951C14">
      <w:pPr>
        <w:numPr>
          <w:ilvl w:val="1"/>
          <w:numId w:val="1"/>
        </w:numPr>
        <w:spacing w:line="240" w:lineRule="auto"/>
        <w:rPr>
          <w:rFonts w:ascii="Open Sans" w:eastAsia="Open Sans" w:hAnsi="Open Sans" w:cs="Open Sans"/>
          <w:sz w:val="20"/>
          <w:szCs w:val="20"/>
        </w:rPr>
      </w:pPr>
      <w:r>
        <w:rPr>
          <w:rFonts w:ascii="Open Sans" w:eastAsia="Open Sans" w:hAnsi="Open Sans" w:cs="Open Sans"/>
          <w:sz w:val="20"/>
          <w:szCs w:val="20"/>
        </w:rPr>
        <w:t>Disaster response</w:t>
      </w:r>
    </w:p>
    <w:p w14:paraId="036613F0" w14:textId="77777777" w:rsidR="00015284" w:rsidRDefault="00951C14">
      <w:pPr>
        <w:numPr>
          <w:ilvl w:val="1"/>
          <w:numId w:val="1"/>
        </w:numPr>
        <w:spacing w:line="240" w:lineRule="auto"/>
        <w:rPr>
          <w:rFonts w:ascii="Open Sans" w:eastAsia="Open Sans" w:hAnsi="Open Sans" w:cs="Open Sans"/>
          <w:sz w:val="20"/>
          <w:szCs w:val="20"/>
        </w:rPr>
      </w:pPr>
      <w:r>
        <w:rPr>
          <w:rFonts w:ascii="Open Sans" w:eastAsia="Open Sans" w:hAnsi="Open Sans" w:cs="Open Sans"/>
          <w:sz w:val="20"/>
          <w:szCs w:val="20"/>
        </w:rPr>
        <w:t>Water district management and conservation planning</w:t>
      </w:r>
    </w:p>
    <w:p w14:paraId="7E178DEA" w14:textId="77777777" w:rsidR="00015284" w:rsidRDefault="00951C14">
      <w:pPr>
        <w:numPr>
          <w:ilvl w:val="1"/>
          <w:numId w:val="1"/>
        </w:numPr>
        <w:spacing w:line="240" w:lineRule="auto"/>
        <w:rPr>
          <w:rFonts w:ascii="Open Sans" w:eastAsia="Open Sans" w:hAnsi="Open Sans" w:cs="Open Sans"/>
          <w:sz w:val="20"/>
          <w:szCs w:val="20"/>
        </w:rPr>
      </w:pPr>
      <w:r>
        <w:rPr>
          <w:rFonts w:ascii="Open Sans" w:eastAsia="Open Sans" w:hAnsi="Open Sans" w:cs="Open Sans"/>
          <w:sz w:val="20"/>
          <w:szCs w:val="20"/>
        </w:rPr>
        <w:t>Insurance</w:t>
      </w:r>
    </w:p>
    <w:p w14:paraId="68AC3EE5" w14:textId="77777777" w:rsidR="00015284" w:rsidRDefault="00951C14">
      <w:pPr>
        <w:numPr>
          <w:ilvl w:val="1"/>
          <w:numId w:val="1"/>
        </w:numPr>
        <w:spacing w:line="240" w:lineRule="auto"/>
        <w:rPr>
          <w:rFonts w:ascii="Open Sans" w:eastAsia="Open Sans" w:hAnsi="Open Sans" w:cs="Open Sans"/>
          <w:sz w:val="20"/>
          <w:szCs w:val="20"/>
        </w:rPr>
      </w:pPr>
      <w:r>
        <w:rPr>
          <w:rFonts w:ascii="Open Sans" w:eastAsia="Open Sans" w:hAnsi="Open Sans" w:cs="Open Sans"/>
          <w:sz w:val="20"/>
          <w:szCs w:val="20"/>
        </w:rPr>
        <w:t>Voluntary markets (GHG)</w:t>
      </w:r>
    </w:p>
    <w:p w14:paraId="32F5BED1" w14:textId="77777777" w:rsidR="00015284" w:rsidRDefault="00951C14">
      <w:pPr>
        <w:numPr>
          <w:ilvl w:val="1"/>
          <w:numId w:val="1"/>
        </w:numPr>
        <w:spacing w:line="240" w:lineRule="auto"/>
        <w:rPr>
          <w:rFonts w:ascii="Open Sans" w:eastAsia="Open Sans" w:hAnsi="Open Sans" w:cs="Open Sans"/>
          <w:sz w:val="20"/>
          <w:szCs w:val="20"/>
        </w:rPr>
      </w:pPr>
      <w:r>
        <w:rPr>
          <w:rFonts w:ascii="Open Sans" w:eastAsia="Open Sans" w:hAnsi="Open Sans" w:cs="Open Sans"/>
          <w:sz w:val="20"/>
          <w:szCs w:val="20"/>
        </w:rPr>
        <w:t>Supply chain traceability</w:t>
      </w:r>
    </w:p>
    <w:p w14:paraId="18A639C9" w14:textId="77777777" w:rsidR="00015284" w:rsidRDefault="00951C14">
      <w:pPr>
        <w:numPr>
          <w:ilvl w:val="1"/>
          <w:numId w:val="1"/>
        </w:numPr>
        <w:spacing w:line="240" w:lineRule="auto"/>
        <w:rPr>
          <w:rFonts w:ascii="Open Sans" w:eastAsia="Open Sans" w:hAnsi="Open Sans" w:cs="Open Sans"/>
          <w:sz w:val="20"/>
          <w:szCs w:val="20"/>
        </w:rPr>
      </w:pPr>
      <w:r>
        <w:rPr>
          <w:rFonts w:ascii="Open Sans" w:eastAsia="Open Sans" w:hAnsi="Open Sans" w:cs="Open Sans"/>
          <w:sz w:val="20"/>
          <w:szCs w:val="20"/>
        </w:rPr>
        <w:t>Risk mitigation</w:t>
      </w:r>
    </w:p>
    <w:p w14:paraId="3C03900A" w14:textId="77777777" w:rsidR="00015284" w:rsidRDefault="00951C14">
      <w:pPr>
        <w:numPr>
          <w:ilvl w:val="1"/>
          <w:numId w:val="1"/>
        </w:numPr>
        <w:spacing w:line="240" w:lineRule="auto"/>
        <w:rPr>
          <w:rFonts w:ascii="Open Sans" w:eastAsia="Open Sans" w:hAnsi="Open Sans" w:cs="Open Sans"/>
          <w:sz w:val="20"/>
          <w:szCs w:val="20"/>
        </w:rPr>
      </w:pPr>
      <w:r>
        <w:rPr>
          <w:rFonts w:ascii="Open Sans" w:eastAsia="Open Sans" w:hAnsi="Open Sans" w:cs="Open Sans"/>
          <w:sz w:val="20"/>
          <w:szCs w:val="20"/>
        </w:rPr>
        <w:t>Precision management</w:t>
      </w:r>
    </w:p>
    <w:p w14:paraId="6FB99610" w14:textId="77777777" w:rsidR="00015284" w:rsidRDefault="00951C14">
      <w:pPr>
        <w:numPr>
          <w:ilvl w:val="1"/>
          <w:numId w:val="1"/>
        </w:numPr>
        <w:spacing w:line="240" w:lineRule="auto"/>
        <w:rPr>
          <w:rFonts w:ascii="Open Sans" w:eastAsia="Open Sans" w:hAnsi="Open Sans" w:cs="Open Sans"/>
          <w:sz w:val="20"/>
          <w:szCs w:val="20"/>
        </w:rPr>
      </w:pPr>
      <w:r>
        <w:rPr>
          <w:rFonts w:ascii="Open Sans" w:eastAsia="Open Sans" w:hAnsi="Open Sans" w:cs="Open Sans"/>
          <w:sz w:val="20"/>
          <w:szCs w:val="20"/>
        </w:rPr>
        <w:t xml:space="preserve">Land management </w:t>
      </w:r>
    </w:p>
    <w:p w14:paraId="3DBEDA20" w14:textId="77777777" w:rsidR="00015284" w:rsidRDefault="00951C14">
      <w:pPr>
        <w:numPr>
          <w:ilvl w:val="0"/>
          <w:numId w:val="1"/>
        </w:numPr>
        <w:spacing w:before="40" w:line="240" w:lineRule="auto"/>
        <w:rPr>
          <w:rFonts w:ascii="Open Sans" w:eastAsia="Open Sans" w:hAnsi="Open Sans" w:cs="Open Sans"/>
          <w:b/>
          <w:sz w:val="20"/>
          <w:szCs w:val="20"/>
        </w:rPr>
      </w:pPr>
      <w:r>
        <w:rPr>
          <w:rFonts w:ascii="Open Sans" w:eastAsia="Open Sans" w:hAnsi="Open Sans" w:cs="Open Sans"/>
          <w:b/>
          <w:sz w:val="20"/>
          <w:szCs w:val="20"/>
        </w:rPr>
        <w:t>Agreement: Audiences</w:t>
      </w:r>
    </w:p>
    <w:p w14:paraId="5DC2D045" w14:textId="77777777" w:rsidR="00015284" w:rsidRDefault="00951C14">
      <w:pPr>
        <w:numPr>
          <w:ilvl w:val="2"/>
          <w:numId w:val="1"/>
        </w:numPr>
        <w:spacing w:before="40" w:line="240" w:lineRule="auto"/>
        <w:rPr>
          <w:rFonts w:ascii="Open Sans" w:eastAsia="Open Sans" w:hAnsi="Open Sans" w:cs="Open Sans"/>
          <w:sz w:val="20"/>
          <w:szCs w:val="20"/>
        </w:rPr>
      </w:pPr>
      <w:r>
        <w:rPr>
          <w:rFonts w:ascii="Open Sans" w:eastAsia="Open Sans" w:hAnsi="Open Sans" w:cs="Open Sans"/>
          <w:sz w:val="20"/>
          <w:szCs w:val="20"/>
        </w:rPr>
        <w:t>CEOS / agencies</w:t>
      </w:r>
    </w:p>
    <w:p w14:paraId="15BCCE52" w14:textId="77777777" w:rsidR="00015284" w:rsidRDefault="00951C14">
      <w:pPr>
        <w:numPr>
          <w:ilvl w:val="2"/>
          <w:numId w:val="1"/>
        </w:numPr>
        <w:spacing w:before="40" w:line="240" w:lineRule="auto"/>
        <w:rPr>
          <w:rFonts w:ascii="Open Sans" w:eastAsia="Open Sans" w:hAnsi="Open Sans" w:cs="Open Sans"/>
          <w:sz w:val="20"/>
          <w:szCs w:val="20"/>
        </w:rPr>
      </w:pPr>
      <w:r>
        <w:rPr>
          <w:rFonts w:ascii="Open Sans" w:eastAsia="Open Sans" w:hAnsi="Open Sans" w:cs="Open Sans"/>
          <w:sz w:val="20"/>
          <w:szCs w:val="20"/>
        </w:rPr>
        <w:t>Agriculture decision makers</w:t>
      </w:r>
    </w:p>
    <w:p w14:paraId="0743DECF" w14:textId="77777777" w:rsidR="00015284" w:rsidRDefault="00951C14">
      <w:pPr>
        <w:numPr>
          <w:ilvl w:val="2"/>
          <w:numId w:val="1"/>
        </w:numPr>
        <w:spacing w:before="40" w:line="240" w:lineRule="auto"/>
        <w:rPr>
          <w:rFonts w:ascii="Open Sans" w:eastAsia="Open Sans" w:hAnsi="Open Sans" w:cs="Open Sans"/>
          <w:sz w:val="20"/>
          <w:szCs w:val="20"/>
        </w:rPr>
      </w:pPr>
      <w:r>
        <w:rPr>
          <w:rFonts w:ascii="Open Sans" w:eastAsia="Open Sans" w:hAnsi="Open Sans" w:cs="Open Sans"/>
          <w:sz w:val="20"/>
          <w:szCs w:val="20"/>
        </w:rPr>
        <w:t>Agriculture information product generators</w:t>
      </w:r>
    </w:p>
    <w:p w14:paraId="51C75575" w14:textId="77777777" w:rsidR="00015284" w:rsidRDefault="00951C14">
      <w:pPr>
        <w:numPr>
          <w:ilvl w:val="2"/>
          <w:numId w:val="1"/>
        </w:numPr>
        <w:spacing w:before="40" w:line="240" w:lineRule="auto"/>
        <w:rPr>
          <w:rFonts w:ascii="Open Sans" w:eastAsia="Open Sans" w:hAnsi="Open Sans" w:cs="Open Sans"/>
          <w:sz w:val="20"/>
          <w:szCs w:val="20"/>
        </w:rPr>
      </w:pPr>
      <w:r>
        <w:rPr>
          <w:rFonts w:ascii="Open Sans" w:eastAsia="Open Sans" w:hAnsi="Open Sans" w:cs="Open Sans"/>
          <w:sz w:val="20"/>
          <w:szCs w:val="20"/>
        </w:rPr>
        <w:t xml:space="preserve">Input variable product generators </w:t>
      </w:r>
    </w:p>
    <w:p w14:paraId="6726546D" w14:textId="77777777" w:rsidR="00015284" w:rsidRDefault="00951C14">
      <w:pPr>
        <w:numPr>
          <w:ilvl w:val="2"/>
          <w:numId w:val="1"/>
        </w:numPr>
        <w:spacing w:before="40" w:line="240" w:lineRule="auto"/>
        <w:rPr>
          <w:rFonts w:ascii="Open Sans" w:eastAsia="Open Sans" w:hAnsi="Open Sans" w:cs="Open Sans"/>
          <w:sz w:val="20"/>
          <w:szCs w:val="20"/>
        </w:rPr>
      </w:pPr>
      <w:r>
        <w:rPr>
          <w:rFonts w:ascii="Open Sans" w:eastAsia="Open Sans" w:hAnsi="Open Sans" w:cs="Open Sans"/>
          <w:sz w:val="20"/>
          <w:szCs w:val="20"/>
        </w:rPr>
        <w:t>Funders/donors</w:t>
      </w:r>
    </w:p>
    <w:p w14:paraId="4481BB28" w14:textId="77777777" w:rsidR="00015284" w:rsidRDefault="00015284">
      <w:pPr>
        <w:spacing w:before="40" w:line="240" w:lineRule="auto"/>
        <w:rPr>
          <w:rFonts w:ascii="Open Sans" w:eastAsia="Open Sans" w:hAnsi="Open Sans" w:cs="Open Sans"/>
          <w:sz w:val="20"/>
          <w:szCs w:val="20"/>
        </w:rPr>
      </w:pPr>
    </w:p>
    <w:p w14:paraId="3FF5B40A" w14:textId="77777777" w:rsidR="00015284" w:rsidRDefault="00951C14">
      <w:pPr>
        <w:spacing w:after="80" w:line="240" w:lineRule="auto"/>
        <w:rPr>
          <w:rFonts w:ascii="Open Sans" w:eastAsia="Open Sans" w:hAnsi="Open Sans" w:cs="Open Sans"/>
          <w:b/>
          <w:sz w:val="20"/>
          <w:szCs w:val="20"/>
        </w:rPr>
      </w:pPr>
      <w:r>
        <w:rPr>
          <w:rFonts w:ascii="Open Sans" w:eastAsia="Open Sans" w:hAnsi="Open Sans" w:cs="Open Sans"/>
          <w:b/>
          <w:noProof/>
          <w:sz w:val="20"/>
          <w:szCs w:val="20"/>
        </w:rPr>
        <w:drawing>
          <wp:inline distT="114300" distB="114300" distL="114300" distR="114300" wp14:anchorId="1DA7A0C8" wp14:editId="42CFCC5B">
            <wp:extent cx="5943600" cy="3340100"/>
            <wp:effectExtent l="12700" t="12700" r="12700" b="127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943600" cy="3340100"/>
                    </a:xfrm>
                    <a:prstGeom prst="rect">
                      <a:avLst/>
                    </a:prstGeom>
                    <a:ln w="12700">
                      <a:solidFill>
                        <a:srgbClr val="CCCCCC"/>
                      </a:solidFill>
                      <a:prstDash val="solid"/>
                    </a:ln>
                  </pic:spPr>
                </pic:pic>
              </a:graphicData>
            </a:graphic>
          </wp:inline>
        </w:drawing>
      </w:r>
    </w:p>
    <w:p w14:paraId="5008BA8D" w14:textId="77777777" w:rsidR="00015284" w:rsidRDefault="00951C14">
      <w:pPr>
        <w:spacing w:after="80" w:line="240" w:lineRule="auto"/>
        <w:jc w:val="center"/>
        <w:rPr>
          <w:rFonts w:ascii="Open Sans" w:eastAsia="Open Sans" w:hAnsi="Open Sans" w:cs="Open Sans"/>
          <w:b/>
          <w:sz w:val="20"/>
          <w:szCs w:val="20"/>
        </w:rPr>
      </w:pPr>
      <w:r>
        <w:rPr>
          <w:rFonts w:ascii="Open Sans" w:eastAsia="Open Sans" w:hAnsi="Open Sans" w:cs="Open Sans"/>
          <w:b/>
          <w:sz w:val="20"/>
          <w:szCs w:val="20"/>
        </w:rPr>
        <w:t>Figure 1: The Framework and Sequence of Effort in the GEOGLAM EAV Work.</w:t>
      </w:r>
    </w:p>
    <w:p w14:paraId="79E981AB" w14:textId="77777777" w:rsidR="00015284" w:rsidRDefault="00015284">
      <w:pPr>
        <w:spacing w:after="80" w:line="240" w:lineRule="auto"/>
        <w:jc w:val="center"/>
        <w:rPr>
          <w:rFonts w:ascii="Open Sans" w:eastAsia="Open Sans" w:hAnsi="Open Sans" w:cs="Open Sans"/>
          <w:b/>
          <w:sz w:val="20"/>
          <w:szCs w:val="20"/>
        </w:rPr>
      </w:pPr>
    </w:p>
    <w:p w14:paraId="0E208425" w14:textId="77777777" w:rsidR="00015284" w:rsidRDefault="00951C14">
      <w:pPr>
        <w:pStyle w:val="Heading2"/>
      </w:pPr>
      <w:bookmarkStart w:id="6" w:name="_ppecax4g3p07" w:colFirst="0" w:colLast="0"/>
      <w:bookmarkEnd w:id="6"/>
      <w:r>
        <w:lastRenderedPageBreak/>
        <w:t>Objective 2: Reach Consensus on the EAV List and Affirm EAV Stewards [IN PROGRESS]</w:t>
      </w:r>
    </w:p>
    <w:p w14:paraId="107A3F35" w14:textId="77777777" w:rsidR="00015284" w:rsidRDefault="00951C14">
      <w:pPr>
        <w:numPr>
          <w:ilvl w:val="0"/>
          <w:numId w:val="1"/>
        </w:numPr>
        <w:rPr>
          <w:rFonts w:ascii="Open Sans" w:eastAsia="Open Sans" w:hAnsi="Open Sans" w:cs="Open Sans"/>
          <w:b/>
          <w:sz w:val="20"/>
          <w:szCs w:val="20"/>
        </w:rPr>
      </w:pPr>
      <w:r>
        <w:rPr>
          <w:rFonts w:ascii="Open Sans" w:eastAsia="Open Sans" w:hAnsi="Open Sans" w:cs="Open Sans"/>
          <w:b/>
          <w:sz w:val="20"/>
          <w:szCs w:val="20"/>
        </w:rPr>
        <w:t>Agreement:</w:t>
      </w:r>
      <w:r>
        <w:rPr>
          <w:rFonts w:ascii="Open Sans" w:eastAsia="Open Sans" w:hAnsi="Open Sans" w:cs="Open Sans"/>
          <w:sz w:val="20"/>
          <w:szCs w:val="20"/>
        </w:rPr>
        <w:t xml:space="preserve">  An Initial “Suite” of agriculture information EAVs - to test the new EAV framework, as well as Lead Stewards (responsible parties) and Participants (contributors): </w:t>
      </w:r>
    </w:p>
    <w:p w14:paraId="3CD79DD6" w14:textId="77777777" w:rsidR="00015284" w:rsidRDefault="00015284">
      <w:pPr>
        <w:rPr>
          <w:rFonts w:ascii="Open Sans" w:eastAsia="Open Sans" w:hAnsi="Open Sans" w:cs="Open Sans"/>
          <w:b/>
          <w:sz w:val="20"/>
          <w:szCs w:val="20"/>
        </w:rPr>
      </w:pP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2634"/>
        <w:gridCol w:w="4941"/>
      </w:tblGrid>
      <w:tr w:rsidR="00015284" w14:paraId="041E8939" w14:textId="77777777">
        <w:tc>
          <w:tcPr>
            <w:tcW w:w="1785" w:type="dxa"/>
            <w:tcMar>
              <w:top w:w="100" w:type="dxa"/>
              <w:left w:w="100" w:type="dxa"/>
              <w:bottom w:w="100" w:type="dxa"/>
              <w:right w:w="100" w:type="dxa"/>
            </w:tcMar>
          </w:tcPr>
          <w:p w14:paraId="36CEDC75" w14:textId="77777777" w:rsidR="00015284" w:rsidRDefault="00951C14">
            <w:pPr>
              <w:widowControl w:val="0"/>
              <w:pBdr>
                <w:top w:val="nil"/>
                <w:left w:val="nil"/>
                <w:bottom w:val="nil"/>
                <w:right w:val="nil"/>
                <w:between w:val="nil"/>
              </w:pBdr>
              <w:spacing w:line="240" w:lineRule="auto"/>
              <w:rPr>
                <w:rFonts w:ascii="Open Sans" w:eastAsia="Open Sans" w:hAnsi="Open Sans" w:cs="Open Sans"/>
                <w:b/>
                <w:sz w:val="20"/>
                <w:szCs w:val="20"/>
              </w:rPr>
            </w:pPr>
            <w:r>
              <w:rPr>
                <w:rFonts w:ascii="Open Sans" w:eastAsia="Open Sans" w:hAnsi="Open Sans" w:cs="Open Sans"/>
                <w:b/>
                <w:sz w:val="20"/>
                <w:szCs w:val="20"/>
              </w:rPr>
              <w:t>Variable</w:t>
            </w:r>
          </w:p>
        </w:tc>
        <w:tc>
          <w:tcPr>
            <w:tcW w:w="2634" w:type="dxa"/>
            <w:tcMar>
              <w:top w:w="100" w:type="dxa"/>
              <w:left w:w="100" w:type="dxa"/>
              <w:bottom w:w="100" w:type="dxa"/>
              <w:right w:w="100" w:type="dxa"/>
            </w:tcMar>
          </w:tcPr>
          <w:p w14:paraId="38EC3372" w14:textId="77777777" w:rsidR="00015284" w:rsidRDefault="00951C14">
            <w:pPr>
              <w:widowControl w:val="0"/>
              <w:pBdr>
                <w:top w:val="nil"/>
                <w:left w:val="nil"/>
                <w:bottom w:val="nil"/>
                <w:right w:val="nil"/>
                <w:between w:val="nil"/>
              </w:pBdr>
              <w:spacing w:line="240" w:lineRule="auto"/>
              <w:rPr>
                <w:rFonts w:ascii="Open Sans" w:eastAsia="Open Sans" w:hAnsi="Open Sans" w:cs="Open Sans"/>
                <w:b/>
                <w:sz w:val="20"/>
                <w:szCs w:val="20"/>
              </w:rPr>
            </w:pPr>
            <w:r>
              <w:rPr>
                <w:rFonts w:ascii="Open Sans" w:eastAsia="Open Sans" w:hAnsi="Open Sans" w:cs="Open Sans"/>
                <w:b/>
                <w:sz w:val="20"/>
                <w:szCs w:val="20"/>
              </w:rPr>
              <w:t>Lead Steward(s)</w:t>
            </w:r>
          </w:p>
        </w:tc>
        <w:tc>
          <w:tcPr>
            <w:tcW w:w="4941" w:type="dxa"/>
            <w:tcMar>
              <w:top w:w="100" w:type="dxa"/>
              <w:left w:w="100" w:type="dxa"/>
              <w:bottom w:w="100" w:type="dxa"/>
              <w:right w:w="100" w:type="dxa"/>
            </w:tcMar>
          </w:tcPr>
          <w:p w14:paraId="587E6611" w14:textId="77777777" w:rsidR="00015284" w:rsidRDefault="00951C14">
            <w:pPr>
              <w:widowControl w:val="0"/>
              <w:pBdr>
                <w:top w:val="nil"/>
                <w:left w:val="nil"/>
                <w:bottom w:val="nil"/>
                <w:right w:val="nil"/>
                <w:between w:val="nil"/>
              </w:pBdr>
              <w:spacing w:line="240" w:lineRule="auto"/>
              <w:rPr>
                <w:rFonts w:ascii="Open Sans" w:eastAsia="Open Sans" w:hAnsi="Open Sans" w:cs="Open Sans"/>
                <w:b/>
                <w:sz w:val="20"/>
                <w:szCs w:val="20"/>
              </w:rPr>
            </w:pPr>
            <w:r>
              <w:rPr>
                <w:rFonts w:ascii="Open Sans" w:eastAsia="Open Sans" w:hAnsi="Open Sans" w:cs="Open Sans"/>
                <w:b/>
                <w:sz w:val="20"/>
                <w:szCs w:val="20"/>
              </w:rPr>
              <w:t>Participants</w:t>
            </w:r>
          </w:p>
        </w:tc>
      </w:tr>
      <w:tr w:rsidR="00015284" w14:paraId="742CB763" w14:textId="77777777">
        <w:tc>
          <w:tcPr>
            <w:tcW w:w="1785" w:type="dxa"/>
            <w:tcMar>
              <w:top w:w="100" w:type="dxa"/>
              <w:left w:w="100" w:type="dxa"/>
              <w:bottom w:w="100" w:type="dxa"/>
              <w:right w:w="100" w:type="dxa"/>
            </w:tcMar>
          </w:tcPr>
          <w:p w14:paraId="22830A87" w14:textId="77777777" w:rsidR="00015284" w:rsidRDefault="00951C14">
            <w:pPr>
              <w:widowControl w:val="0"/>
              <w:pBdr>
                <w:top w:val="nil"/>
                <w:left w:val="nil"/>
                <w:bottom w:val="nil"/>
                <w:right w:val="nil"/>
                <w:between w:val="nil"/>
              </w:pBdr>
              <w:spacing w:line="240" w:lineRule="auto"/>
              <w:rPr>
                <w:rFonts w:ascii="Open Sans" w:eastAsia="Open Sans" w:hAnsi="Open Sans" w:cs="Open Sans"/>
                <w:b/>
                <w:sz w:val="20"/>
                <w:szCs w:val="20"/>
              </w:rPr>
            </w:pPr>
            <w:r>
              <w:rPr>
                <w:rFonts w:ascii="Open Sans" w:eastAsia="Open Sans" w:hAnsi="Open Sans" w:cs="Open Sans"/>
                <w:b/>
                <w:sz w:val="20"/>
                <w:szCs w:val="20"/>
              </w:rPr>
              <w:t>Crop Type</w:t>
            </w:r>
          </w:p>
        </w:tc>
        <w:tc>
          <w:tcPr>
            <w:tcW w:w="2634" w:type="dxa"/>
            <w:tcMar>
              <w:top w:w="100" w:type="dxa"/>
              <w:left w:w="100" w:type="dxa"/>
              <w:bottom w:w="100" w:type="dxa"/>
              <w:right w:w="100" w:type="dxa"/>
            </w:tcMar>
          </w:tcPr>
          <w:p w14:paraId="1837A713" w14:textId="77777777" w:rsidR="00015284" w:rsidRDefault="00951C1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Mariana </w:t>
            </w:r>
            <w:proofErr w:type="spellStart"/>
            <w:r>
              <w:rPr>
                <w:rFonts w:ascii="Open Sans" w:eastAsia="Open Sans" w:hAnsi="Open Sans" w:cs="Open Sans"/>
                <w:sz w:val="20"/>
                <w:szCs w:val="20"/>
              </w:rPr>
              <w:t>Belgiu</w:t>
            </w:r>
            <w:proofErr w:type="spellEnd"/>
            <w:r>
              <w:rPr>
                <w:rFonts w:ascii="Open Sans" w:eastAsia="Open Sans" w:hAnsi="Open Sans" w:cs="Open Sans"/>
                <w:sz w:val="20"/>
                <w:szCs w:val="20"/>
              </w:rPr>
              <w:t xml:space="preserve"> (U of Twente)</w:t>
            </w:r>
            <w:r>
              <w:rPr>
                <w:rFonts w:ascii="Open Sans" w:eastAsia="Open Sans" w:hAnsi="Open Sans" w:cs="Open Sans"/>
                <w:sz w:val="20"/>
                <w:szCs w:val="20"/>
              </w:rPr>
              <w:br/>
              <w:t>Livia Peiser (UN FAO)</w:t>
            </w:r>
          </w:p>
        </w:tc>
        <w:tc>
          <w:tcPr>
            <w:tcW w:w="4941" w:type="dxa"/>
            <w:tcMar>
              <w:top w:w="100" w:type="dxa"/>
              <w:left w:w="100" w:type="dxa"/>
              <w:bottom w:w="100" w:type="dxa"/>
              <w:right w:w="100" w:type="dxa"/>
            </w:tcMar>
          </w:tcPr>
          <w:p w14:paraId="2A114910" w14:textId="77777777" w:rsidR="00015284" w:rsidRDefault="00951C1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Herve </w:t>
            </w:r>
            <w:proofErr w:type="spellStart"/>
            <w:r>
              <w:rPr>
                <w:rFonts w:ascii="Open Sans" w:eastAsia="Open Sans" w:hAnsi="Open Sans" w:cs="Open Sans"/>
                <w:sz w:val="20"/>
                <w:szCs w:val="20"/>
              </w:rPr>
              <w:t>Kerdiles</w:t>
            </w:r>
            <w:proofErr w:type="spellEnd"/>
            <w:r>
              <w:rPr>
                <w:rFonts w:ascii="Open Sans" w:eastAsia="Open Sans" w:hAnsi="Open Sans" w:cs="Open Sans"/>
                <w:sz w:val="20"/>
                <w:szCs w:val="20"/>
              </w:rPr>
              <w:t xml:space="preserve"> (EC), Miao Zhang (Chinese Academy of Sciences, CAS), Felix Rembold (EC), Michel Massart (EC), Shinichi </w:t>
            </w:r>
            <w:proofErr w:type="spellStart"/>
            <w:r>
              <w:rPr>
                <w:rFonts w:ascii="Open Sans" w:eastAsia="Open Sans" w:hAnsi="Open Sans" w:cs="Open Sans"/>
                <w:sz w:val="20"/>
                <w:szCs w:val="20"/>
              </w:rPr>
              <w:t>Sobue</w:t>
            </w:r>
            <w:proofErr w:type="spellEnd"/>
            <w:r>
              <w:rPr>
                <w:rFonts w:ascii="Open Sans" w:eastAsia="Open Sans" w:hAnsi="Open Sans" w:cs="Open Sans"/>
                <w:sz w:val="20"/>
                <w:szCs w:val="20"/>
              </w:rPr>
              <w:t xml:space="preserve"> (JAXA), Zoltan </w:t>
            </w:r>
            <w:proofErr w:type="spellStart"/>
            <w:r>
              <w:rPr>
                <w:rFonts w:ascii="Open Sans" w:eastAsia="Open Sans" w:hAnsi="Open Sans" w:cs="Open Sans"/>
                <w:sz w:val="20"/>
                <w:szCs w:val="20"/>
              </w:rPr>
              <w:t>Szantoi</w:t>
            </w:r>
            <w:proofErr w:type="spellEnd"/>
            <w:r>
              <w:rPr>
                <w:rFonts w:ascii="Open Sans" w:eastAsia="Open Sans" w:hAnsi="Open Sans" w:cs="Open Sans"/>
                <w:sz w:val="20"/>
                <w:szCs w:val="20"/>
              </w:rPr>
              <w:t xml:space="preserve"> (ESA), Pierre Defourny (UC Louvain), </w:t>
            </w:r>
            <w:proofErr w:type="spellStart"/>
            <w:r>
              <w:rPr>
                <w:rFonts w:ascii="Open Sans" w:eastAsia="Open Sans" w:hAnsi="Open Sans" w:cs="Open Sans"/>
                <w:sz w:val="20"/>
                <w:szCs w:val="20"/>
              </w:rPr>
              <w:t>Jinlong</w:t>
            </w:r>
            <w:proofErr w:type="spellEnd"/>
            <w:r>
              <w:rPr>
                <w:rFonts w:ascii="Open Sans" w:eastAsia="Open Sans" w:hAnsi="Open Sans" w:cs="Open Sans"/>
                <w:sz w:val="20"/>
                <w:szCs w:val="20"/>
              </w:rPr>
              <w:t xml:space="preserve"> Fan (Beijing Normal), </w:t>
            </w:r>
            <w:proofErr w:type="spellStart"/>
            <w:r>
              <w:rPr>
                <w:rFonts w:ascii="Open Sans" w:eastAsia="Open Sans" w:hAnsi="Open Sans" w:cs="Open Sans"/>
                <w:sz w:val="20"/>
                <w:szCs w:val="20"/>
              </w:rPr>
              <w:t>Shunlin</w:t>
            </w:r>
            <w:proofErr w:type="spellEnd"/>
            <w:r>
              <w:rPr>
                <w:rFonts w:ascii="Open Sans" w:eastAsia="Open Sans" w:hAnsi="Open Sans" w:cs="Open Sans"/>
                <w:sz w:val="20"/>
                <w:szCs w:val="20"/>
              </w:rPr>
              <w:t xml:space="preserve"> Liang (Hong Kong U), Laurent Tits (VITO), Arun </w:t>
            </w:r>
            <w:proofErr w:type="spellStart"/>
            <w:r>
              <w:rPr>
                <w:rFonts w:ascii="Open Sans" w:eastAsia="Open Sans" w:hAnsi="Open Sans" w:cs="Open Sans"/>
                <w:sz w:val="20"/>
                <w:szCs w:val="20"/>
              </w:rPr>
              <w:t>Pratihast</w:t>
            </w:r>
            <w:proofErr w:type="spellEnd"/>
            <w:r>
              <w:rPr>
                <w:rFonts w:ascii="Open Sans" w:eastAsia="Open Sans" w:hAnsi="Open Sans" w:cs="Open Sans"/>
                <w:sz w:val="20"/>
                <w:szCs w:val="20"/>
              </w:rPr>
              <w:t xml:space="preserve"> (Wageningen), Lorenzo De Simone (UN FAO), Lijun Zuo (CAS), Gilberto Camara (INPE), </w:t>
            </w:r>
            <w:proofErr w:type="spellStart"/>
            <w:r>
              <w:rPr>
                <w:rFonts w:ascii="Open Sans" w:eastAsia="Open Sans" w:hAnsi="Open Sans" w:cs="Open Sans"/>
                <w:sz w:val="20"/>
                <w:szCs w:val="20"/>
              </w:rPr>
              <w:t>Rakhesh</w:t>
            </w:r>
            <w:proofErr w:type="spellEnd"/>
            <w:r>
              <w:rPr>
                <w:rFonts w:ascii="Open Sans" w:eastAsia="Open Sans" w:hAnsi="Open Sans" w:cs="Open Sans"/>
                <w:sz w:val="20"/>
                <w:szCs w:val="20"/>
              </w:rPr>
              <w:t xml:space="preserve"> Devadas (Agriculture Australia)</w:t>
            </w:r>
          </w:p>
        </w:tc>
      </w:tr>
      <w:tr w:rsidR="00015284" w14:paraId="65746D7C" w14:textId="77777777">
        <w:tc>
          <w:tcPr>
            <w:tcW w:w="1785" w:type="dxa"/>
            <w:tcMar>
              <w:top w:w="100" w:type="dxa"/>
              <w:left w:w="100" w:type="dxa"/>
              <w:bottom w:w="100" w:type="dxa"/>
              <w:right w:w="100" w:type="dxa"/>
            </w:tcMar>
          </w:tcPr>
          <w:p w14:paraId="7284433A" w14:textId="77777777" w:rsidR="00015284" w:rsidRDefault="00951C14">
            <w:pPr>
              <w:widowControl w:val="0"/>
              <w:pBdr>
                <w:top w:val="nil"/>
                <w:left w:val="nil"/>
                <w:bottom w:val="nil"/>
                <w:right w:val="nil"/>
                <w:between w:val="nil"/>
              </w:pBdr>
              <w:spacing w:line="240" w:lineRule="auto"/>
              <w:rPr>
                <w:rFonts w:ascii="Open Sans" w:eastAsia="Open Sans" w:hAnsi="Open Sans" w:cs="Open Sans"/>
                <w:b/>
                <w:sz w:val="20"/>
                <w:szCs w:val="20"/>
              </w:rPr>
            </w:pPr>
            <w:r>
              <w:rPr>
                <w:rFonts w:ascii="Open Sans" w:eastAsia="Open Sans" w:hAnsi="Open Sans" w:cs="Open Sans"/>
                <w:b/>
                <w:sz w:val="20"/>
                <w:szCs w:val="20"/>
              </w:rPr>
              <w:t>Crop Yield</w:t>
            </w:r>
          </w:p>
        </w:tc>
        <w:tc>
          <w:tcPr>
            <w:tcW w:w="2634" w:type="dxa"/>
            <w:tcMar>
              <w:top w:w="100" w:type="dxa"/>
              <w:left w:w="100" w:type="dxa"/>
              <w:bottom w:w="100" w:type="dxa"/>
              <w:right w:w="100" w:type="dxa"/>
            </w:tcMar>
          </w:tcPr>
          <w:p w14:paraId="5714086C" w14:textId="77777777" w:rsidR="00015284" w:rsidRDefault="00951C1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Belen Franch (U of Valencia)</w:t>
            </w:r>
          </w:p>
        </w:tc>
        <w:tc>
          <w:tcPr>
            <w:tcW w:w="4941" w:type="dxa"/>
            <w:tcMar>
              <w:top w:w="100" w:type="dxa"/>
              <w:left w:w="100" w:type="dxa"/>
              <w:bottom w:w="100" w:type="dxa"/>
              <w:right w:w="100" w:type="dxa"/>
            </w:tcMar>
          </w:tcPr>
          <w:p w14:paraId="3693F6EB" w14:textId="4D081F91" w:rsidR="00015284" w:rsidRDefault="00951C1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Bettina Baruth (EC), Christina Justice (U of Maryland), Michele Meroni (EC), Hongwei Zeng (CAS), Hendrik Boogaard (Wageningen), Herve </w:t>
            </w:r>
            <w:proofErr w:type="spellStart"/>
            <w:r>
              <w:rPr>
                <w:rFonts w:ascii="Open Sans" w:eastAsia="Open Sans" w:hAnsi="Open Sans" w:cs="Open Sans"/>
                <w:sz w:val="20"/>
                <w:szCs w:val="20"/>
              </w:rPr>
              <w:t>Kerdilles</w:t>
            </w:r>
            <w:proofErr w:type="spellEnd"/>
            <w:r>
              <w:rPr>
                <w:rFonts w:ascii="Open Sans" w:eastAsia="Open Sans" w:hAnsi="Open Sans" w:cs="Open Sans"/>
                <w:sz w:val="20"/>
                <w:szCs w:val="20"/>
              </w:rPr>
              <w:t xml:space="preserve"> (EC), Feng Yin (</w:t>
            </w:r>
            <w:r w:rsidR="00EF394E">
              <w:rPr>
                <w:rFonts w:ascii="Open Sans" w:eastAsia="Open Sans" w:hAnsi="Open Sans" w:cs="Open Sans"/>
                <w:sz w:val="20"/>
                <w:szCs w:val="20"/>
              </w:rPr>
              <w:t xml:space="preserve">NCEO &amp; </w:t>
            </w:r>
            <w:r>
              <w:rPr>
                <w:rFonts w:ascii="Open Sans" w:eastAsia="Open Sans" w:hAnsi="Open Sans" w:cs="Open Sans"/>
                <w:sz w:val="20"/>
                <w:szCs w:val="20"/>
              </w:rPr>
              <w:t>University College London), Sophie Bontemps (UC Louvain), Livia Peiser (UN FAO), Lorenzo De Simone (UN FAO), Inbal Becker-Reshef (UMD), Maria Piles (U of Valencia), Ioannis Athanasiadis (Wageningen), Jonathan Pound (UN FAO)</w:t>
            </w:r>
          </w:p>
        </w:tc>
      </w:tr>
      <w:tr w:rsidR="00015284" w14:paraId="466E7A4C" w14:textId="77777777">
        <w:tc>
          <w:tcPr>
            <w:tcW w:w="1785" w:type="dxa"/>
            <w:tcMar>
              <w:top w:w="100" w:type="dxa"/>
              <w:left w:w="100" w:type="dxa"/>
              <w:bottom w:w="100" w:type="dxa"/>
              <w:right w:w="100" w:type="dxa"/>
            </w:tcMar>
          </w:tcPr>
          <w:p w14:paraId="3E991F44" w14:textId="77777777" w:rsidR="00015284" w:rsidRDefault="00951C14">
            <w:pPr>
              <w:widowControl w:val="0"/>
              <w:pBdr>
                <w:top w:val="nil"/>
                <w:left w:val="nil"/>
                <w:bottom w:val="nil"/>
                <w:right w:val="nil"/>
                <w:between w:val="nil"/>
              </w:pBdr>
              <w:spacing w:line="240" w:lineRule="auto"/>
              <w:rPr>
                <w:rFonts w:ascii="Open Sans" w:eastAsia="Open Sans" w:hAnsi="Open Sans" w:cs="Open Sans"/>
                <w:b/>
                <w:sz w:val="20"/>
                <w:szCs w:val="20"/>
              </w:rPr>
            </w:pPr>
            <w:r>
              <w:rPr>
                <w:rFonts w:ascii="Open Sans" w:eastAsia="Open Sans" w:hAnsi="Open Sans" w:cs="Open Sans"/>
                <w:b/>
                <w:sz w:val="20"/>
                <w:szCs w:val="20"/>
              </w:rPr>
              <w:t xml:space="preserve">Actual </w:t>
            </w:r>
            <w:proofErr w:type="spellStart"/>
            <w:r>
              <w:rPr>
                <w:rFonts w:ascii="Open Sans" w:eastAsia="Open Sans" w:hAnsi="Open Sans" w:cs="Open Sans"/>
                <w:b/>
                <w:sz w:val="20"/>
                <w:szCs w:val="20"/>
              </w:rPr>
              <w:t>Evapo</w:t>
            </w:r>
            <w:proofErr w:type="spellEnd"/>
            <w:r>
              <w:rPr>
                <w:rFonts w:ascii="Open Sans" w:eastAsia="Open Sans" w:hAnsi="Open Sans" w:cs="Open Sans"/>
                <w:b/>
                <w:sz w:val="20"/>
                <w:szCs w:val="20"/>
              </w:rPr>
              <w:t>- transpiration</w:t>
            </w:r>
          </w:p>
        </w:tc>
        <w:tc>
          <w:tcPr>
            <w:tcW w:w="2634" w:type="dxa"/>
            <w:tcMar>
              <w:top w:w="100" w:type="dxa"/>
              <w:left w:w="100" w:type="dxa"/>
              <w:bottom w:w="100" w:type="dxa"/>
              <w:right w:w="100" w:type="dxa"/>
            </w:tcMar>
          </w:tcPr>
          <w:p w14:paraId="135138CA" w14:textId="77777777" w:rsidR="00015284" w:rsidRDefault="00951C14">
            <w:pPr>
              <w:widowControl w:val="0"/>
              <w:pBdr>
                <w:top w:val="nil"/>
                <w:left w:val="nil"/>
                <w:bottom w:val="nil"/>
                <w:right w:val="nil"/>
                <w:between w:val="nil"/>
              </w:pBdr>
              <w:spacing w:line="240" w:lineRule="auto"/>
              <w:rPr>
                <w:rFonts w:ascii="Open Sans" w:eastAsia="Open Sans" w:hAnsi="Open Sans" w:cs="Open Sans"/>
                <w:sz w:val="20"/>
                <w:szCs w:val="20"/>
              </w:rPr>
            </w:pPr>
            <w:proofErr w:type="spellStart"/>
            <w:r>
              <w:rPr>
                <w:rFonts w:ascii="Open Sans" w:eastAsia="Open Sans" w:hAnsi="Open Sans" w:cs="Open Sans"/>
                <w:sz w:val="20"/>
                <w:szCs w:val="20"/>
              </w:rPr>
              <w:t>Jippe</w:t>
            </w:r>
            <w:proofErr w:type="spellEnd"/>
            <w:r>
              <w:rPr>
                <w:rFonts w:ascii="Open Sans" w:eastAsia="Open Sans" w:hAnsi="Open Sans" w:cs="Open Sans"/>
                <w:sz w:val="20"/>
                <w:szCs w:val="20"/>
              </w:rPr>
              <w:t xml:space="preserve"> Hoogeveen (UN FAO)</w:t>
            </w:r>
          </w:p>
        </w:tc>
        <w:tc>
          <w:tcPr>
            <w:tcW w:w="4941" w:type="dxa"/>
            <w:tcMar>
              <w:top w:w="100" w:type="dxa"/>
              <w:left w:w="100" w:type="dxa"/>
              <w:bottom w:w="100" w:type="dxa"/>
              <w:right w:w="100" w:type="dxa"/>
            </w:tcMar>
          </w:tcPr>
          <w:p w14:paraId="2DFC62FE" w14:textId="5D4B0660" w:rsidR="00015284" w:rsidRDefault="00951C1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Michelle Massart (EC), Michael Marshall (U of Twente), Rado Guzinski (DHI), Hongwei Zeng (CAS), </w:t>
            </w:r>
            <w:proofErr w:type="spellStart"/>
            <w:r>
              <w:rPr>
                <w:rFonts w:ascii="Open Sans" w:eastAsia="Open Sans" w:hAnsi="Open Sans" w:cs="Open Sans"/>
                <w:sz w:val="20"/>
                <w:szCs w:val="20"/>
              </w:rPr>
              <w:t>Fuyou</w:t>
            </w:r>
            <w:proofErr w:type="spellEnd"/>
            <w:r>
              <w:rPr>
                <w:rFonts w:ascii="Open Sans" w:eastAsia="Open Sans" w:hAnsi="Open Sans" w:cs="Open Sans"/>
                <w:sz w:val="20"/>
                <w:szCs w:val="20"/>
              </w:rPr>
              <w:t xml:space="preserve"> Tian (CAS), Forrest Melton (NASA), Agnieszka </w:t>
            </w:r>
            <w:proofErr w:type="spellStart"/>
            <w:r>
              <w:rPr>
                <w:rFonts w:ascii="Open Sans" w:eastAsia="Open Sans" w:hAnsi="Open Sans" w:cs="Open Sans"/>
                <w:sz w:val="20"/>
                <w:szCs w:val="20"/>
              </w:rPr>
              <w:t>Soszynska</w:t>
            </w:r>
            <w:proofErr w:type="spellEnd"/>
            <w:r>
              <w:rPr>
                <w:rFonts w:ascii="Open Sans" w:eastAsia="Open Sans" w:hAnsi="Open Sans" w:cs="Open Sans"/>
                <w:sz w:val="20"/>
                <w:szCs w:val="20"/>
              </w:rPr>
              <w:t xml:space="preserve"> (</w:t>
            </w:r>
            <w:r w:rsidR="00EF394E">
              <w:rPr>
                <w:rFonts w:ascii="Open Sans" w:eastAsia="Open Sans" w:hAnsi="Open Sans" w:cs="Open Sans"/>
                <w:sz w:val="20"/>
                <w:szCs w:val="20"/>
              </w:rPr>
              <w:t xml:space="preserve">NCEO &amp; </w:t>
            </w:r>
            <w:r>
              <w:rPr>
                <w:rFonts w:ascii="Open Sans" w:eastAsia="Open Sans" w:hAnsi="Open Sans" w:cs="Open Sans"/>
                <w:sz w:val="20"/>
                <w:szCs w:val="20"/>
              </w:rPr>
              <w:t>U of Leicester), Steven Wonink (</w:t>
            </w:r>
            <w:proofErr w:type="spellStart"/>
            <w:r>
              <w:rPr>
                <w:rFonts w:ascii="Open Sans" w:eastAsia="Open Sans" w:hAnsi="Open Sans" w:cs="Open Sans"/>
                <w:sz w:val="20"/>
                <w:szCs w:val="20"/>
              </w:rPr>
              <w:t>eLeaf</w:t>
            </w:r>
            <w:proofErr w:type="spellEnd"/>
            <w:r>
              <w:rPr>
                <w:rFonts w:ascii="Open Sans" w:eastAsia="Open Sans" w:hAnsi="Open Sans" w:cs="Open Sans"/>
                <w:sz w:val="20"/>
                <w:szCs w:val="20"/>
              </w:rPr>
              <w:t>), Greg Husak (UC Santa Barbara), Livia Peiser (UN FAO)</w:t>
            </w:r>
          </w:p>
        </w:tc>
      </w:tr>
      <w:tr w:rsidR="00015284" w14:paraId="7D87A01B" w14:textId="77777777">
        <w:tc>
          <w:tcPr>
            <w:tcW w:w="1785" w:type="dxa"/>
            <w:tcMar>
              <w:top w:w="100" w:type="dxa"/>
              <w:left w:w="100" w:type="dxa"/>
              <w:bottom w:w="100" w:type="dxa"/>
              <w:right w:w="100" w:type="dxa"/>
            </w:tcMar>
          </w:tcPr>
          <w:p w14:paraId="17568F27" w14:textId="77777777" w:rsidR="00015284" w:rsidRDefault="00951C14">
            <w:pPr>
              <w:widowControl w:val="0"/>
              <w:pBdr>
                <w:top w:val="nil"/>
                <w:left w:val="nil"/>
                <w:bottom w:val="nil"/>
                <w:right w:val="nil"/>
                <w:between w:val="nil"/>
              </w:pBdr>
              <w:spacing w:line="240" w:lineRule="auto"/>
              <w:rPr>
                <w:rFonts w:ascii="Open Sans" w:eastAsia="Open Sans" w:hAnsi="Open Sans" w:cs="Open Sans"/>
                <w:b/>
                <w:sz w:val="20"/>
                <w:szCs w:val="20"/>
              </w:rPr>
            </w:pPr>
            <w:r>
              <w:rPr>
                <w:rFonts w:ascii="Open Sans" w:eastAsia="Open Sans" w:hAnsi="Open Sans" w:cs="Open Sans"/>
                <w:b/>
                <w:sz w:val="20"/>
                <w:szCs w:val="20"/>
              </w:rPr>
              <w:t>Field Boundaries</w:t>
            </w:r>
          </w:p>
        </w:tc>
        <w:tc>
          <w:tcPr>
            <w:tcW w:w="2634" w:type="dxa"/>
            <w:tcMar>
              <w:top w:w="100" w:type="dxa"/>
              <w:left w:w="100" w:type="dxa"/>
              <w:bottom w:w="100" w:type="dxa"/>
              <w:right w:w="100" w:type="dxa"/>
            </w:tcMar>
          </w:tcPr>
          <w:p w14:paraId="6EBE80F7" w14:textId="77777777" w:rsidR="00015284" w:rsidRDefault="00951C1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Catherine Champagne (Agriculture Agrifood Canada)</w:t>
            </w:r>
          </w:p>
        </w:tc>
        <w:tc>
          <w:tcPr>
            <w:tcW w:w="4941" w:type="dxa"/>
            <w:tcMar>
              <w:top w:w="100" w:type="dxa"/>
              <w:left w:w="100" w:type="dxa"/>
              <w:bottom w:w="100" w:type="dxa"/>
              <w:right w:w="100" w:type="dxa"/>
            </w:tcMar>
          </w:tcPr>
          <w:p w14:paraId="1D666D9B" w14:textId="77777777" w:rsidR="00015284" w:rsidRDefault="00951C1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Lin Yan (Michigan State), Lorenzo De Simone (UN FAO), Mykola Lavreniuk, Yuval Sadeh (Monash University), Bahram </w:t>
            </w:r>
            <w:proofErr w:type="spellStart"/>
            <w:r>
              <w:rPr>
                <w:rFonts w:ascii="Open Sans" w:eastAsia="Open Sans" w:hAnsi="Open Sans" w:cs="Open Sans"/>
                <w:sz w:val="20"/>
                <w:szCs w:val="20"/>
              </w:rPr>
              <w:t>Daneshfar</w:t>
            </w:r>
            <w:proofErr w:type="spellEnd"/>
            <w:r>
              <w:rPr>
                <w:rFonts w:ascii="Open Sans" w:eastAsia="Open Sans" w:hAnsi="Open Sans" w:cs="Open Sans"/>
                <w:sz w:val="20"/>
                <w:szCs w:val="20"/>
              </w:rPr>
              <w:t xml:space="preserve"> (AAFC)</w:t>
            </w:r>
          </w:p>
        </w:tc>
      </w:tr>
      <w:tr w:rsidR="00015284" w14:paraId="79309283" w14:textId="77777777">
        <w:tc>
          <w:tcPr>
            <w:tcW w:w="1785" w:type="dxa"/>
            <w:tcMar>
              <w:top w:w="100" w:type="dxa"/>
              <w:left w:w="100" w:type="dxa"/>
              <w:bottom w:w="100" w:type="dxa"/>
              <w:right w:w="100" w:type="dxa"/>
            </w:tcMar>
          </w:tcPr>
          <w:p w14:paraId="571632FA" w14:textId="77777777" w:rsidR="00015284" w:rsidRDefault="00951C14">
            <w:pPr>
              <w:widowControl w:val="0"/>
              <w:pBdr>
                <w:top w:val="nil"/>
                <w:left w:val="nil"/>
                <w:bottom w:val="nil"/>
                <w:right w:val="nil"/>
                <w:between w:val="nil"/>
              </w:pBdr>
              <w:spacing w:line="240" w:lineRule="auto"/>
              <w:rPr>
                <w:rFonts w:ascii="Open Sans" w:eastAsia="Open Sans" w:hAnsi="Open Sans" w:cs="Open Sans"/>
                <w:b/>
                <w:sz w:val="20"/>
                <w:szCs w:val="20"/>
              </w:rPr>
            </w:pPr>
            <w:r>
              <w:rPr>
                <w:rFonts w:ascii="Open Sans" w:eastAsia="Open Sans" w:hAnsi="Open Sans" w:cs="Open Sans"/>
                <w:b/>
                <w:sz w:val="20"/>
                <w:szCs w:val="20"/>
              </w:rPr>
              <w:t>Cover Crop</w:t>
            </w:r>
          </w:p>
        </w:tc>
        <w:tc>
          <w:tcPr>
            <w:tcW w:w="2634" w:type="dxa"/>
            <w:tcMar>
              <w:top w:w="100" w:type="dxa"/>
              <w:left w:w="100" w:type="dxa"/>
              <w:bottom w:w="100" w:type="dxa"/>
              <w:right w:w="100" w:type="dxa"/>
            </w:tcMar>
          </w:tcPr>
          <w:p w14:paraId="09AE94BD" w14:textId="77777777" w:rsidR="00015284" w:rsidRDefault="00951C1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Dean Hively (USGS), Alison Thieme (UMD), Alyssa Whitcraft (UMD)</w:t>
            </w:r>
          </w:p>
        </w:tc>
        <w:tc>
          <w:tcPr>
            <w:tcW w:w="4941" w:type="dxa"/>
            <w:tcMar>
              <w:top w:w="100" w:type="dxa"/>
              <w:left w:w="100" w:type="dxa"/>
              <w:bottom w:w="100" w:type="dxa"/>
              <w:right w:w="100" w:type="dxa"/>
            </w:tcMar>
          </w:tcPr>
          <w:p w14:paraId="098CCA11" w14:textId="77777777" w:rsidR="00015284" w:rsidRDefault="00951C1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Catherine Champagne (AAFC), Laurent Tits (VITO), Mike Humber (UMD), Heather McNairn (AAFC), Felid Rembold (EC)</w:t>
            </w:r>
          </w:p>
        </w:tc>
      </w:tr>
    </w:tbl>
    <w:p w14:paraId="5771AF76" w14:textId="77777777" w:rsidR="00015284" w:rsidRDefault="00015284">
      <w:pPr>
        <w:rPr>
          <w:rFonts w:ascii="Open Sans" w:eastAsia="Open Sans" w:hAnsi="Open Sans" w:cs="Open Sans"/>
          <w:sz w:val="20"/>
          <w:szCs w:val="20"/>
        </w:rPr>
      </w:pPr>
    </w:p>
    <w:p w14:paraId="3F653615" w14:textId="77777777" w:rsidR="00015284" w:rsidRDefault="00951C14">
      <w:pPr>
        <w:pStyle w:val="Heading3"/>
        <w:rPr>
          <w:u w:val="single"/>
        </w:rPr>
      </w:pPr>
      <w:bookmarkStart w:id="7" w:name="_7cey6i5oie96" w:colFirst="0" w:colLast="0"/>
      <w:bookmarkEnd w:id="7"/>
      <w:r>
        <w:rPr>
          <w:u w:val="single"/>
        </w:rPr>
        <w:lastRenderedPageBreak/>
        <w:t>Summary of Phase 1 EAVs</w:t>
      </w:r>
    </w:p>
    <w:p w14:paraId="28D892E8" w14:textId="77777777" w:rsidR="00015284" w:rsidRDefault="00951C14">
      <w:pPr>
        <w:spacing w:before="200"/>
        <w:rPr>
          <w:rFonts w:ascii="Open Sans" w:eastAsia="Open Sans" w:hAnsi="Open Sans" w:cs="Open Sans"/>
          <w:b/>
          <w:sz w:val="20"/>
          <w:szCs w:val="20"/>
        </w:rPr>
      </w:pPr>
      <w:r>
        <w:rPr>
          <w:rFonts w:ascii="Open Sans" w:eastAsia="Open Sans" w:hAnsi="Open Sans" w:cs="Open Sans"/>
          <w:b/>
          <w:sz w:val="20"/>
          <w:szCs w:val="20"/>
        </w:rPr>
        <w:t>The objectives of the Phase 1 EAV articulation were two-fold:</w:t>
      </w:r>
    </w:p>
    <w:p w14:paraId="17888881" w14:textId="77777777" w:rsidR="00015284" w:rsidRDefault="00951C14">
      <w:pPr>
        <w:numPr>
          <w:ilvl w:val="0"/>
          <w:numId w:val="10"/>
        </w:numPr>
        <w:spacing w:before="200"/>
        <w:rPr>
          <w:rFonts w:ascii="Open Sans" w:eastAsia="Open Sans" w:hAnsi="Open Sans" w:cs="Open Sans"/>
          <w:sz w:val="20"/>
          <w:szCs w:val="20"/>
        </w:rPr>
      </w:pPr>
      <w:proofErr w:type="spellStart"/>
      <w:r>
        <w:rPr>
          <w:rFonts w:ascii="Open Sans" w:eastAsia="Open Sans" w:hAnsi="Open Sans" w:cs="Open Sans"/>
          <w:sz w:val="20"/>
          <w:szCs w:val="20"/>
        </w:rPr>
        <w:t>Characterise</w:t>
      </w:r>
      <w:proofErr w:type="spellEnd"/>
      <w:r>
        <w:rPr>
          <w:rFonts w:ascii="Open Sans" w:eastAsia="Open Sans" w:hAnsi="Open Sans" w:cs="Open Sans"/>
          <w:sz w:val="20"/>
          <w:szCs w:val="20"/>
        </w:rPr>
        <w:t xml:space="preserve"> the first set of EAVs.</w:t>
      </w:r>
    </w:p>
    <w:p w14:paraId="6BE97582" w14:textId="77777777" w:rsidR="00015284" w:rsidRDefault="00951C14">
      <w:pPr>
        <w:numPr>
          <w:ilvl w:val="1"/>
          <w:numId w:val="10"/>
        </w:numPr>
        <w:rPr>
          <w:rFonts w:ascii="Open Sans" w:eastAsia="Open Sans" w:hAnsi="Open Sans" w:cs="Open Sans"/>
          <w:sz w:val="20"/>
          <w:szCs w:val="20"/>
        </w:rPr>
      </w:pPr>
      <w:r>
        <w:rPr>
          <w:rFonts w:ascii="Open Sans" w:eastAsia="Open Sans" w:hAnsi="Open Sans" w:cs="Open Sans"/>
          <w:sz w:val="20"/>
          <w:szCs w:val="20"/>
        </w:rPr>
        <w:t xml:space="preserve">Each group did this a little differently. At the end, an attempt was initiated to “harmonize” the </w:t>
      </w:r>
      <w:proofErr w:type="gramStart"/>
      <w:r>
        <w:rPr>
          <w:rFonts w:ascii="Open Sans" w:eastAsia="Open Sans" w:hAnsi="Open Sans" w:cs="Open Sans"/>
          <w:sz w:val="20"/>
          <w:szCs w:val="20"/>
        </w:rPr>
        <w:t>inputs, but</w:t>
      </w:r>
      <w:proofErr w:type="gramEnd"/>
      <w:r>
        <w:rPr>
          <w:rFonts w:ascii="Open Sans" w:eastAsia="Open Sans" w:hAnsi="Open Sans" w:cs="Open Sans"/>
          <w:sz w:val="20"/>
          <w:szCs w:val="20"/>
        </w:rPr>
        <w:t xml:space="preserve"> is still in progress as of the submission of this report. The link to this dynamic table can be found here: </w:t>
      </w:r>
      <w:hyperlink r:id="rId8">
        <w:r>
          <w:rPr>
            <w:rFonts w:ascii="Open Sans" w:eastAsia="Open Sans" w:hAnsi="Open Sans" w:cs="Open Sans"/>
            <w:color w:val="1155CC"/>
            <w:sz w:val="20"/>
            <w:szCs w:val="20"/>
            <w:u w:val="single"/>
          </w:rPr>
          <w:t>https://docs.google.com/spreadsheets/d/1IwQbvS30-upT2N8qklVoQPxUmkOjHsmqsd1fK4WfBn8/edit?usp=sharing</w:t>
        </w:r>
      </w:hyperlink>
      <w:r>
        <w:rPr>
          <w:rFonts w:ascii="Open Sans" w:eastAsia="Open Sans" w:hAnsi="Open Sans" w:cs="Open Sans"/>
          <w:sz w:val="20"/>
          <w:szCs w:val="20"/>
        </w:rPr>
        <w:t xml:space="preserve"> </w:t>
      </w:r>
    </w:p>
    <w:p w14:paraId="764DE25A" w14:textId="77777777" w:rsidR="00015284" w:rsidRDefault="00951C14">
      <w:pPr>
        <w:numPr>
          <w:ilvl w:val="0"/>
          <w:numId w:val="10"/>
        </w:numPr>
        <w:rPr>
          <w:rFonts w:ascii="Open Sans" w:eastAsia="Open Sans" w:hAnsi="Open Sans" w:cs="Open Sans"/>
          <w:sz w:val="20"/>
          <w:szCs w:val="20"/>
        </w:rPr>
      </w:pPr>
      <w:r>
        <w:rPr>
          <w:rFonts w:ascii="Open Sans" w:eastAsia="Open Sans" w:hAnsi="Open Sans" w:cs="Open Sans"/>
          <w:sz w:val="20"/>
          <w:szCs w:val="20"/>
        </w:rPr>
        <w:t xml:space="preserve">Through the exercise of </w:t>
      </w:r>
      <w:proofErr w:type="spellStart"/>
      <w:r>
        <w:rPr>
          <w:rFonts w:ascii="Open Sans" w:eastAsia="Open Sans" w:hAnsi="Open Sans" w:cs="Open Sans"/>
          <w:sz w:val="20"/>
          <w:szCs w:val="20"/>
        </w:rPr>
        <w:t>characterising</w:t>
      </w:r>
      <w:proofErr w:type="spellEnd"/>
      <w:r>
        <w:rPr>
          <w:rFonts w:ascii="Open Sans" w:eastAsia="Open Sans" w:hAnsi="Open Sans" w:cs="Open Sans"/>
          <w:sz w:val="20"/>
          <w:szCs w:val="20"/>
        </w:rPr>
        <w:t xml:space="preserve"> the first set of EAVs, “pressure test” the Framework and identify lessons learned to inform the </w:t>
      </w:r>
      <w:proofErr w:type="spellStart"/>
      <w:r>
        <w:rPr>
          <w:rFonts w:ascii="Open Sans" w:eastAsia="Open Sans" w:hAnsi="Open Sans" w:cs="Open Sans"/>
          <w:sz w:val="20"/>
          <w:szCs w:val="20"/>
        </w:rPr>
        <w:t>characterisations</w:t>
      </w:r>
      <w:proofErr w:type="spellEnd"/>
      <w:r>
        <w:rPr>
          <w:rFonts w:ascii="Open Sans" w:eastAsia="Open Sans" w:hAnsi="Open Sans" w:cs="Open Sans"/>
          <w:sz w:val="20"/>
          <w:szCs w:val="20"/>
        </w:rPr>
        <w:t xml:space="preserve"> of the subsequent EAVs.</w:t>
      </w:r>
    </w:p>
    <w:p w14:paraId="24F186B7" w14:textId="77777777" w:rsidR="00015284" w:rsidRDefault="00951C14">
      <w:pPr>
        <w:numPr>
          <w:ilvl w:val="1"/>
          <w:numId w:val="10"/>
        </w:numPr>
        <w:rPr>
          <w:rFonts w:ascii="Open Sans" w:eastAsia="Open Sans" w:hAnsi="Open Sans" w:cs="Open Sans"/>
          <w:sz w:val="20"/>
          <w:szCs w:val="20"/>
        </w:rPr>
      </w:pPr>
      <w:r>
        <w:rPr>
          <w:rFonts w:ascii="Open Sans" w:eastAsia="Open Sans" w:hAnsi="Open Sans" w:cs="Open Sans"/>
          <w:sz w:val="20"/>
          <w:szCs w:val="20"/>
        </w:rPr>
        <w:t xml:space="preserve">Consensus: </w:t>
      </w:r>
    </w:p>
    <w:p w14:paraId="60C9E33C" w14:textId="77777777" w:rsidR="00015284" w:rsidRDefault="00951C14">
      <w:pPr>
        <w:numPr>
          <w:ilvl w:val="2"/>
          <w:numId w:val="10"/>
        </w:numPr>
        <w:rPr>
          <w:rFonts w:ascii="Open Sans" w:eastAsia="Open Sans" w:hAnsi="Open Sans" w:cs="Open Sans"/>
          <w:sz w:val="20"/>
          <w:szCs w:val="20"/>
        </w:rPr>
      </w:pPr>
      <w:r>
        <w:rPr>
          <w:rFonts w:ascii="Open Sans" w:eastAsia="Open Sans" w:hAnsi="Open Sans" w:cs="Open Sans"/>
          <w:sz w:val="20"/>
          <w:szCs w:val="20"/>
        </w:rPr>
        <w:t>Revisions within the June-September timeline allowed for improvements that clarified substantially the framework.</w:t>
      </w:r>
    </w:p>
    <w:p w14:paraId="3C1F5CF3" w14:textId="77777777" w:rsidR="00015284" w:rsidRDefault="00951C14">
      <w:pPr>
        <w:numPr>
          <w:ilvl w:val="2"/>
          <w:numId w:val="10"/>
        </w:numPr>
        <w:rPr>
          <w:rFonts w:ascii="Open Sans" w:eastAsia="Open Sans" w:hAnsi="Open Sans" w:cs="Open Sans"/>
          <w:sz w:val="20"/>
          <w:szCs w:val="20"/>
        </w:rPr>
      </w:pPr>
      <w:r>
        <w:rPr>
          <w:rFonts w:ascii="Open Sans" w:eastAsia="Open Sans" w:hAnsi="Open Sans" w:cs="Open Sans"/>
          <w:sz w:val="20"/>
          <w:szCs w:val="20"/>
        </w:rPr>
        <w:t>The framework is solid, logical, and valuable. Still, improvements can be made as well as clarifications about circumstances where variables appear as “non</w:t>
      </w:r>
    </w:p>
    <w:p w14:paraId="1A3D9C30" w14:textId="77777777" w:rsidR="00015284" w:rsidRDefault="00951C14">
      <w:pPr>
        <w:numPr>
          <w:ilvl w:val="1"/>
          <w:numId w:val="10"/>
        </w:numPr>
        <w:rPr>
          <w:rFonts w:ascii="Open Sans" w:eastAsia="Open Sans" w:hAnsi="Open Sans" w:cs="Open Sans"/>
          <w:sz w:val="20"/>
          <w:szCs w:val="20"/>
        </w:rPr>
      </w:pPr>
      <w:r>
        <w:rPr>
          <w:rFonts w:ascii="Open Sans" w:eastAsia="Open Sans" w:hAnsi="Open Sans" w:cs="Open Sans"/>
          <w:sz w:val="20"/>
          <w:szCs w:val="20"/>
        </w:rPr>
        <w:t xml:space="preserve">Challenges: </w:t>
      </w:r>
    </w:p>
    <w:p w14:paraId="489DA2F9" w14:textId="77777777" w:rsidR="00015284" w:rsidRDefault="00951C14">
      <w:pPr>
        <w:numPr>
          <w:ilvl w:val="2"/>
          <w:numId w:val="10"/>
        </w:numPr>
        <w:rPr>
          <w:rFonts w:ascii="Open Sans" w:eastAsia="Open Sans" w:hAnsi="Open Sans" w:cs="Open Sans"/>
          <w:sz w:val="20"/>
          <w:szCs w:val="20"/>
        </w:rPr>
      </w:pPr>
      <w:r>
        <w:rPr>
          <w:rFonts w:ascii="Open Sans" w:eastAsia="Open Sans" w:hAnsi="Open Sans" w:cs="Open Sans"/>
          <w:sz w:val="20"/>
          <w:szCs w:val="20"/>
        </w:rPr>
        <w:t>Ensuring active contribution by multiple GEOGLAM community-members, particularly as we move to variables with which our most active community members are relatively less experienced</w:t>
      </w:r>
    </w:p>
    <w:p w14:paraId="6281F383" w14:textId="77777777" w:rsidR="00015284" w:rsidRDefault="00951C14">
      <w:pPr>
        <w:numPr>
          <w:ilvl w:val="2"/>
          <w:numId w:val="10"/>
        </w:numPr>
        <w:rPr>
          <w:rFonts w:ascii="Open Sans" w:eastAsia="Open Sans" w:hAnsi="Open Sans" w:cs="Open Sans"/>
          <w:sz w:val="20"/>
          <w:szCs w:val="20"/>
        </w:rPr>
      </w:pPr>
      <w:r>
        <w:rPr>
          <w:rFonts w:ascii="Open Sans" w:eastAsia="Open Sans" w:hAnsi="Open Sans" w:cs="Open Sans"/>
          <w:sz w:val="20"/>
          <w:szCs w:val="20"/>
        </w:rPr>
        <w:t>A greater level of effort to support the coordination of this activity is needed than is at present available.</w:t>
      </w:r>
    </w:p>
    <w:p w14:paraId="2E67C640" w14:textId="77777777" w:rsidR="00015284" w:rsidRDefault="00951C14">
      <w:pPr>
        <w:spacing w:before="200"/>
        <w:rPr>
          <w:rFonts w:ascii="Open Sans" w:eastAsia="Open Sans" w:hAnsi="Open Sans" w:cs="Open Sans"/>
          <w:b/>
          <w:sz w:val="20"/>
          <w:szCs w:val="20"/>
        </w:rPr>
      </w:pPr>
      <w:r>
        <w:rPr>
          <w:rFonts w:ascii="Open Sans" w:eastAsia="Open Sans" w:hAnsi="Open Sans" w:cs="Open Sans"/>
          <w:b/>
          <w:sz w:val="20"/>
          <w:szCs w:val="20"/>
        </w:rPr>
        <w:t>Below, two examples are illustrated with select information shown.</w:t>
      </w:r>
    </w:p>
    <w:p w14:paraId="5E2D6109" w14:textId="77777777" w:rsidR="00015284" w:rsidRDefault="00015284">
      <w:pPr>
        <w:rPr>
          <w:rFonts w:ascii="Open Sans" w:eastAsia="Open Sans" w:hAnsi="Open Sans" w:cs="Open Sans"/>
          <w:sz w:val="20"/>
          <w:szCs w:val="20"/>
        </w:rPr>
      </w:pPr>
    </w:p>
    <w:p w14:paraId="0DF083AB" w14:textId="77777777" w:rsidR="00015284" w:rsidRDefault="00951C14">
      <w:pPr>
        <w:pStyle w:val="Heading4"/>
        <w:rPr>
          <w:sz w:val="20"/>
          <w:szCs w:val="20"/>
        </w:rPr>
      </w:pPr>
      <w:bookmarkStart w:id="8" w:name="_fg58d7lhdudb" w:colFirst="0" w:colLast="0"/>
      <w:bookmarkEnd w:id="8"/>
      <w:r>
        <w:t>Example: Crop Type</w:t>
      </w:r>
    </w:p>
    <w:p w14:paraId="5EF7F217" w14:textId="77777777" w:rsidR="00015284" w:rsidRDefault="00951C14">
      <w:pPr>
        <w:numPr>
          <w:ilvl w:val="0"/>
          <w:numId w:val="11"/>
        </w:numPr>
        <w:rPr>
          <w:rFonts w:ascii="Open Sans" w:eastAsia="Open Sans" w:hAnsi="Open Sans" w:cs="Open Sans"/>
          <w:sz w:val="20"/>
          <w:szCs w:val="20"/>
        </w:rPr>
      </w:pPr>
      <w:r>
        <w:rPr>
          <w:rFonts w:ascii="Open Sans" w:eastAsia="Open Sans" w:hAnsi="Open Sans" w:cs="Open Sans"/>
          <w:sz w:val="20"/>
          <w:szCs w:val="20"/>
        </w:rPr>
        <w:t>This is a single variable:</w:t>
      </w:r>
    </w:p>
    <w:p w14:paraId="690F3452" w14:textId="77777777" w:rsidR="00015284" w:rsidRDefault="00951C14">
      <w:pPr>
        <w:numPr>
          <w:ilvl w:val="1"/>
          <w:numId w:val="11"/>
        </w:numPr>
        <w:rPr>
          <w:rFonts w:ascii="Open Sans" w:eastAsia="Open Sans" w:hAnsi="Open Sans" w:cs="Open Sans"/>
          <w:sz w:val="20"/>
          <w:szCs w:val="20"/>
        </w:rPr>
      </w:pPr>
      <w:r>
        <w:rPr>
          <w:rFonts w:ascii="Arial Unicode MS" w:eastAsia="Arial Unicode MS" w:hAnsi="Arial Unicode MS" w:cs="Arial Unicode MS"/>
          <w:sz w:val="20"/>
          <w:szCs w:val="20"/>
        </w:rPr>
        <w:t xml:space="preserve">Crop Type → </w:t>
      </w:r>
      <w:proofErr w:type="gramStart"/>
      <w:r>
        <w:rPr>
          <w:rFonts w:ascii="Arial Unicode MS" w:eastAsia="Arial Unicode MS" w:hAnsi="Arial Unicode MS" w:cs="Arial Unicode MS"/>
          <w:sz w:val="20"/>
          <w:szCs w:val="20"/>
        </w:rPr>
        <w:t>spatially-explicit</w:t>
      </w:r>
      <w:proofErr w:type="gramEnd"/>
      <w:r>
        <w:rPr>
          <w:rFonts w:ascii="Arial Unicode MS" w:eastAsia="Arial Unicode MS" w:hAnsi="Arial Unicode MS" w:cs="Arial Unicode MS"/>
          <w:sz w:val="20"/>
          <w:szCs w:val="20"/>
        </w:rPr>
        <w:t xml:space="preserve">, </w:t>
      </w:r>
      <w:proofErr w:type="gramStart"/>
      <w:r>
        <w:rPr>
          <w:rFonts w:ascii="Arial Unicode MS" w:eastAsia="Arial Unicode MS" w:hAnsi="Arial Unicode MS" w:cs="Arial Unicode MS"/>
          <w:sz w:val="20"/>
          <w:szCs w:val="20"/>
        </w:rPr>
        <w:t>temporally-explicit</w:t>
      </w:r>
      <w:proofErr w:type="gramEnd"/>
      <w:r>
        <w:rPr>
          <w:rFonts w:ascii="Arial Unicode MS" w:eastAsia="Arial Unicode MS" w:hAnsi="Arial Unicode MS" w:cs="Arial Unicode MS"/>
          <w:sz w:val="20"/>
          <w:szCs w:val="20"/>
        </w:rPr>
        <w:t xml:space="preserve"> determination of identified types of non-perennial crops, types of perennial crops, managed grasslands, and/or of mixed-crop mosaics, as identified within the Cropland Mask. </w:t>
      </w:r>
    </w:p>
    <w:p w14:paraId="07571113" w14:textId="77777777" w:rsidR="00015284" w:rsidRDefault="00951C14">
      <w:pPr>
        <w:numPr>
          <w:ilvl w:val="1"/>
          <w:numId w:val="11"/>
        </w:numPr>
        <w:rPr>
          <w:rFonts w:ascii="Open Sans" w:eastAsia="Open Sans" w:hAnsi="Open Sans" w:cs="Open Sans"/>
          <w:sz w:val="20"/>
          <w:szCs w:val="20"/>
        </w:rPr>
      </w:pPr>
      <w:r>
        <w:rPr>
          <w:rFonts w:ascii="Arial Unicode MS" w:eastAsia="Arial Unicode MS" w:hAnsi="Arial Unicode MS" w:cs="Arial Unicode MS"/>
          <w:sz w:val="20"/>
          <w:szCs w:val="20"/>
        </w:rPr>
        <w:t xml:space="preserve">Categories or Hierarchies → Types can be grouped into categories and/or hierarchies following globally recognized nomenclature (for example, FAO or JECAM). </w:t>
      </w:r>
    </w:p>
    <w:p w14:paraId="3236ACDE" w14:textId="77777777" w:rsidR="00015284" w:rsidRDefault="00951C14">
      <w:pPr>
        <w:numPr>
          <w:ilvl w:val="2"/>
          <w:numId w:val="11"/>
        </w:numPr>
        <w:rPr>
          <w:rFonts w:ascii="Open Sans" w:eastAsia="Open Sans" w:hAnsi="Open Sans" w:cs="Open Sans"/>
          <w:sz w:val="20"/>
          <w:szCs w:val="20"/>
        </w:rPr>
      </w:pPr>
      <w:r>
        <w:rPr>
          <w:rFonts w:ascii="Open Sans" w:eastAsia="Open Sans" w:hAnsi="Open Sans" w:cs="Open Sans"/>
          <w:sz w:val="20"/>
          <w:szCs w:val="20"/>
        </w:rPr>
        <w:t>Where categorical or hierarchical classification systems are in use, products should include documentation and definitions.</w:t>
      </w:r>
    </w:p>
    <w:p w14:paraId="76928581" w14:textId="77777777" w:rsidR="00015284" w:rsidRDefault="00951C14">
      <w:pPr>
        <w:numPr>
          <w:ilvl w:val="1"/>
          <w:numId w:val="11"/>
        </w:numPr>
        <w:rPr>
          <w:rFonts w:ascii="Open Sans" w:eastAsia="Open Sans" w:hAnsi="Open Sans" w:cs="Open Sans"/>
          <w:sz w:val="20"/>
          <w:szCs w:val="20"/>
        </w:rPr>
      </w:pPr>
      <w:r>
        <w:rPr>
          <w:rFonts w:ascii="Arial Unicode MS" w:eastAsia="Arial Unicode MS" w:hAnsi="Arial Unicode MS" w:cs="Arial Unicode MS"/>
          <w:sz w:val="20"/>
          <w:szCs w:val="20"/>
        </w:rPr>
        <w:t>Coverage → Cropland Extent</w:t>
      </w:r>
    </w:p>
    <w:p w14:paraId="6E18A34A" w14:textId="77777777" w:rsidR="00015284" w:rsidRDefault="00951C14">
      <w:pPr>
        <w:numPr>
          <w:ilvl w:val="0"/>
          <w:numId w:val="11"/>
        </w:numPr>
      </w:pPr>
      <w:r>
        <w:rPr>
          <w:rFonts w:ascii="Open Sans" w:eastAsia="Open Sans" w:hAnsi="Open Sans" w:cs="Open Sans"/>
          <w:sz w:val="20"/>
          <w:szCs w:val="20"/>
        </w:rPr>
        <w:t xml:space="preserve">Four applications were identified and </w:t>
      </w:r>
      <w:proofErr w:type="spellStart"/>
      <w:r>
        <w:rPr>
          <w:rFonts w:ascii="Open Sans" w:eastAsia="Open Sans" w:hAnsi="Open Sans" w:cs="Open Sans"/>
          <w:sz w:val="20"/>
          <w:szCs w:val="20"/>
        </w:rPr>
        <w:t>characterised</w:t>
      </w:r>
      <w:proofErr w:type="spellEnd"/>
      <w:r>
        <w:rPr>
          <w:rFonts w:ascii="Open Sans" w:eastAsia="Open Sans" w:hAnsi="Open Sans" w:cs="Open Sans"/>
          <w:sz w:val="20"/>
          <w:szCs w:val="20"/>
        </w:rPr>
        <w:t xml:space="preserve"> separately; lesson: subsequent efforts should </w:t>
      </w:r>
      <w:proofErr w:type="spellStart"/>
      <w:r>
        <w:rPr>
          <w:rFonts w:ascii="Open Sans" w:eastAsia="Open Sans" w:hAnsi="Open Sans" w:cs="Open Sans"/>
          <w:sz w:val="20"/>
          <w:szCs w:val="20"/>
        </w:rPr>
        <w:t>harmonise</w:t>
      </w:r>
      <w:proofErr w:type="spellEnd"/>
      <w:r>
        <w:rPr>
          <w:rFonts w:ascii="Open Sans" w:eastAsia="Open Sans" w:hAnsi="Open Sans" w:cs="Open Sans"/>
          <w:sz w:val="20"/>
          <w:szCs w:val="20"/>
        </w:rPr>
        <w:t xml:space="preserve"> across applications as much as possible. </w:t>
      </w:r>
    </w:p>
    <w:p w14:paraId="423D50C8" w14:textId="77777777" w:rsidR="00015284" w:rsidRDefault="00951C14">
      <w:pPr>
        <w:numPr>
          <w:ilvl w:val="0"/>
          <w:numId w:val="11"/>
        </w:numPr>
        <w:rPr>
          <w:rFonts w:ascii="Open Sans" w:eastAsia="Open Sans" w:hAnsi="Open Sans" w:cs="Open Sans"/>
          <w:sz w:val="20"/>
          <w:szCs w:val="20"/>
        </w:rPr>
      </w:pPr>
      <w:r>
        <w:rPr>
          <w:rFonts w:ascii="Open Sans" w:eastAsia="Open Sans" w:hAnsi="Open Sans" w:cs="Open Sans"/>
          <w:sz w:val="20"/>
          <w:szCs w:val="20"/>
        </w:rPr>
        <w:lastRenderedPageBreak/>
        <w:t>Application described in this report:</w:t>
      </w:r>
    </w:p>
    <w:p w14:paraId="4550EF15" w14:textId="77777777" w:rsidR="00015284" w:rsidRDefault="00951C14">
      <w:pPr>
        <w:numPr>
          <w:ilvl w:val="1"/>
          <w:numId w:val="11"/>
        </w:numPr>
        <w:rPr>
          <w:rFonts w:ascii="Open Sans" w:eastAsia="Open Sans" w:hAnsi="Open Sans" w:cs="Open Sans"/>
          <w:sz w:val="20"/>
          <w:szCs w:val="20"/>
        </w:rPr>
      </w:pPr>
      <w:r>
        <w:rPr>
          <w:rFonts w:ascii="Open Sans" w:eastAsia="Open Sans" w:hAnsi="Open Sans" w:cs="Open Sans"/>
          <w:sz w:val="20"/>
          <w:szCs w:val="20"/>
        </w:rPr>
        <w:t>National monitoring for food security, water security, and early warning systems</w:t>
      </w:r>
    </w:p>
    <w:p w14:paraId="4CF0DE15" w14:textId="77777777" w:rsidR="00015284" w:rsidRDefault="00951C14">
      <w:pPr>
        <w:numPr>
          <w:ilvl w:val="2"/>
          <w:numId w:val="11"/>
        </w:numPr>
        <w:rPr>
          <w:rFonts w:ascii="Open Sans" w:eastAsia="Open Sans" w:hAnsi="Open Sans" w:cs="Open Sans"/>
          <w:sz w:val="20"/>
          <w:szCs w:val="20"/>
        </w:rPr>
      </w:pPr>
      <w:r>
        <w:rPr>
          <w:rFonts w:ascii="Arial Unicode MS" w:eastAsia="Arial Unicode MS" w:hAnsi="Arial Unicode MS" w:cs="Arial Unicode MS"/>
          <w:sz w:val="20"/>
          <w:szCs w:val="20"/>
        </w:rPr>
        <w:t xml:space="preserve">Attributes → </w:t>
      </w:r>
    </w:p>
    <w:p w14:paraId="4F84A338" w14:textId="77777777" w:rsidR="00015284" w:rsidRDefault="00951C14">
      <w:pPr>
        <w:numPr>
          <w:ilvl w:val="3"/>
          <w:numId w:val="11"/>
        </w:numPr>
        <w:rPr>
          <w:rFonts w:ascii="Open Sans" w:eastAsia="Open Sans" w:hAnsi="Open Sans" w:cs="Open Sans"/>
          <w:sz w:val="20"/>
          <w:szCs w:val="20"/>
        </w:rPr>
      </w:pPr>
      <w:r>
        <w:rPr>
          <w:rFonts w:ascii="Open Sans" w:eastAsia="Open Sans" w:hAnsi="Open Sans" w:cs="Open Sans"/>
          <w:sz w:val="20"/>
          <w:szCs w:val="20"/>
        </w:rPr>
        <w:t>Crops making up 90% of crop production in low-income countries</w:t>
      </w:r>
    </w:p>
    <w:p w14:paraId="2E768226" w14:textId="77777777" w:rsidR="00015284" w:rsidRDefault="00951C14">
      <w:pPr>
        <w:rPr>
          <w:rFonts w:ascii="Open Sans" w:eastAsia="Open Sans" w:hAnsi="Open Sans" w:cs="Open Sans"/>
          <w:sz w:val="20"/>
          <w:szCs w:val="20"/>
        </w:rPr>
      </w:pPr>
      <w:r>
        <w:rPr>
          <w:rFonts w:ascii="Open Sans" w:eastAsia="Open Sans" w:hAnsi="Open Sans" w:cs="Open Sans"/>
          <w:noProof/>
          <w:sz w:val="20"/>
          <w:szCs w:val="20"/>
        </w:rPr>
        <w:drawing>
          <wp:inline distT="114300" distB="114300" distL="114300" distR="114300" wp14:anchorId="38DFA5A3" wp14:editId="76E22B3D">
            <wp:extent cx="5943600" cy="6096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943600" cy="609600"/>
                    </a:xfrm>
                    <a:prstGeom prst="rect">
                      <a:avLst/>
                    </a:prstGeom>
                    <a:ln/>
                  </pic:spPr>
                </pic:pic>
              </a:graphicData>
            </a:graphic>
          </wp:inline>
        </w:drawing>
      </w:r>
    </w:p>
    <w:p w14:paraId="136BA760" w14:textId="77777777" w:rsidR="00015284" w:rsidRDefault="00951C14">
      <w:pPr>
        <w:numPr>
          <w:ilvl w:val="0"/>
          <w:numId w:val="3"/>
        </w:numPr>
        <w:rPr>
          <w:rFonts w:ascii="Open Sans" w:eastAsia="Open Sans" w:hAnsi="Open Sans" w:cs="Open Sans"/>
          <w:sz w:val="20"/>
          <w:szCs w:val="20"/>
        </w:rPr>
      </w:pPr>
      <w:r>
        <w:rPr>
          <w:rFonts w:ascii="Open Sans" w:eastAsia="Open Sans" w:hAnsi="Open Sans" w:cs="Open Sans"/>
          <w:sz w:val="20"/>
          <w:szCs w:val="20"/>
        </w:rPr>
        <w:t xml:space="preserve">After undertaking the </w:t>
      </w:r>
      <w:proofErr w:type="spellStart"/>
      <w:r>
        <w:rPr>
          <w:rFonts w:ascii="Open Sans" w:eastAsia="Open Sans" w:hAnsi="Open Sans" w:cs="Open Sans"/>
          <w:sz w:val="20"/>
          <w:szCs w:val="20"/>
        </w:rPr>
        <w:t>Stocktake</w:t>
      </w:r>
      <w:proofErr w:type="spellEnd"/>
      <w:r>
        <w:rPr>
          <w:rFonts w:ascii="Open Sans" w:eastAsia="Open Sans" w:hAnsi="Open Sans" w:cs="Open Sans"/>
          <w:sz w:val="20"/>
          <w:szCs w:val="20"/>
        </w:rPr>
        <w:t xml:space="preserve"> and Gap Analysis, the summary revealed that despite very high importance to GEOGLAM, its mandate, and food security in general, critical barriers existed specifically related to instrument suitability and the existence of products that were readily available for use. </w:t>
      </w:r>
    </w:p>
    <w:p w14:paraId="2400D0DD" w14:textId="77777777" w:rsidR="00015284" w:rsidRDefault="00951C14">
      <w:pPr>
        <w:ind w:firstLine="720"/>
        <w:rPr>
          <w:rFonts w:ascii="Open Sans" w:eastAsia="Open Sans" w:hAnsi="Open Sans" w:cs="Open Sans"/>
          <w:sz w:val="20"/>
          <w:szCs w:val="20"/>
        </w:rPr>
      </w:pPr>
      <w:r>
        <w:rPr>
          <w:rFonts w:ascii="Open Sans" w:eastAsia="Open Sans" w:hAnsi="Open Sans" w:cs="Open Sans"/>
          <w:noProof/>
          <w:sz w:val="20"/>
          <w:szCs w:val="20"/>
        </w:rPr>
        <w:drawing>
          <wp:inline distT="114300" distB="114300" distL="114300" distR="114300" wp14:anchorId="5DA1B8DF" wp14:editId="203E2AA4">
            <wp:extent cx="4162425" cy="132825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162425" cy="1328254"/>
                    </a:xfrm>
                    <a:prstGeom prst="rect">
                      <a:avLst/>
                    </a:prstGeom>
                    <a:ln/>
                  </pic:spPr>
                </pic:pic>
              </a:graphicData>
            </a:graphic>
          </wp:inline>
        </w:drawing>
      </w:r>
    </w:p>
    <w:p w14:paraId="4E597099" w14:textId="77777777" w:rsidR="00015284" w:rsidRDefault="00951C14">
      <w:pPr>
        <w:numPr>
          <w:ilvl w:val="0"/>
          <w:numId w:val="5"/>
        </w:numPr>
        <w:rPr>
          <w:rFonts w:ascii="Open Sans" w:eastAsia="Open Sans" w:hAnsi="Open Sans" w:cs="Open Sans"/>
          <w:sz w:val="20"/>
          <w:szCs w:val="20"/>
        </w:rPr>
      </w:pPr>
      <w:r>
        <w:rPr>
          <w:rFonts w:ascii="Open Sans" w:eastAsia="Open Sans" w:hAnsi="Open Sans" w:cs="Open Sans"/>
          <w:sz w:val="20"/>
          <w:szCs w:val="20"/>
        </w:rPr>
        <w:t xml:space="preserve">Methods are of reasonable quality, although improvement could be made toward reaching “Need Met” Ranking. </w:t>
      </w:r>
    </w:p>
    <w:p w14:paraId="58416DE7" w14:textId="3FDD98BE" w:rsidR="00015284" w:rsidRDefault="00951C14">
      <w:pPr>
        <w:numPr>
          <w:ilvl w:val="0"/>
          <w:numId w:val="5"/>
        </w:numPr>
        <w:rPr>
          <w:rFonts w:ascii="Open Sans" w:eastAsia="Open Sans" w:hAnsi="Open Sans" w:cs="Open Sans"/>
          <w:b/>
          <w:sz w:val="20"/>
          <w:szCs w:val="20"/>
        </w:rPr>
      </w:pPr>
      <w:r>
        <w:rPr>
          <w:rFonts w:ascii="Open Sans" w:eastAsia="Open Sans" w:hAnsi="Open Sans" w:cs="Open Sans"/>
          <w:b/>
          <w:sz w:val="20"/>
          <w:szCs w:val="20"/>
        </w:rPr>
        <w:t xml:space="preserve">From this, emphasis should be placed on product generation, which itself is reliant upon quality-controlled in situ data and/or well-calibrated very high </w:t>
      </w:r>
      <w:proofErr w:type="gramStart"/>
      <w:r>
        <w:rPr>
          <w:rFonts w:ascii="Open Sans" w:eastAsia="Open Sans" w:hAnsi="Open Sans" w:cs="Open Sans"/>
          <w:b/>
          <w:sz w:val="20"/>
          <w:szCs w:val="20"/>
        </w:rPr>
        <w:t xml:space="preserve">resolution </w:t>
      </w:r>
      <w:r w:rsidR="00EF394E">
        <w:rPr>
          <w:rFonts w:ascii="Open Sans" w:eastAsia="Open Sans" w:hAnsi="Open Sans" w:cs="Open Sans"/>
          <w:b/>
          <w:sz w:val="20"/>
          <w:szCs w:val="20"/>
        </w:rPr>
        <w:t xml:space="preserve"> satellite</w:t>
      </w:r>
      <w:proofErr w:type="gramEnd"/>
      <w:r w:rsidR="00EF394E">
        <w:rPr>
          <w:rFonts w:ascii="Open Sans" w:eastAsia="Open Sans" w:hAnsi="Open Sans" w:cs="Open Sans"/>
          <w:b/>
          <w:sz w:val="20"/>
          <w:szCs w:val="20"/>
        </w:rPr>
        <w:t xml:space="preserve"> </w:t>
      </w:r>
      <w:r>
        <w:rPr>
          <w:rFonts w:ascii="Open Sans" w:eastAsia="Open Sans" w:hAnsi="Open Sans" w:cs="Open Sans"/>
          <w:b/>
          <w:sz w:val="20"/>
          <w:szCs w:val="20"/>
        </w:rPr>
        <w:t xml:space="preserve">datasets.  </w:t>
      </w:r>
    </w:p>
    <w:p w14:paraId="61222C54" w14:textId="77777777" w:rsidR="00015284" w:rsidRDefault="00015284">
      <w:pPr>
        <w:pStyle w:val="Heading4"/>
      </w:pPr>
      <w:bookmarkStart w:id="9" w:name="_fstjiap6x7lj" w:colFirst="0" w:colLast="0"/>
      <w:bookmarkEnd w:id="9"/>
    </w:p>
    <w:p w14:paraId="770B848E" w14:textId="77777777" w:rsidR="00015284" w:rsidRDefault="00951C14">
      <w:pPr>
        <w:pStyle w:val="Heading4"/>
      </w:pPr>
      <w:bookmarkStart w:id="10" w:name="_9ta557wry4os" w:colFirst="0" w:colLast="0"/>
      <w:bookmarkEnd w:id="10"/>
      <w:r>
        <w:t>Example: Seasonal Cover Crop</w:t>
      </w:r>
    </w:p>
    <w:p w14:paraId="0FE926F6" w14:textId="77777777" w:rsidR="00015284" w:rsidRDefault="00951C14">
      <w:pPr>
        <w:numPr>
          <w:ilvl w:val="0"/>
          <w:numId w:val="9"/>
        </w:numPr>
        <w:rPr>
          <w:rFonts w:ascii="Open Sans" w:eastAsia="Open Sans" w:hAnsi="Open Sans" w:cs="Open Sans"/>
          <w:sz w:val="20"/>
          <w:szCs w:val="20"/>
        </w:rPr>
      </w:pPr>
      <w:r>
        <w:rPr>
          <w:rFonts w:ascii="Open Sans" w:eastAsia="Open Sans" w:hAnsi="Open Sans" w:cs="Open Sans"/>
          <w:sz w:val="20"/>
          <w:szCs w:val="20"/>
        </w:rPr>
        <w:t xml:space="preserve">Two applications were identified supported by the same set of variables with the same </w:t>
      </w:r>
      <w:proofErr w:type="spellStart"/>
      <w:r>
        <w:rPr>
          <w:rFonts w:ascii="Open Sans" w:eastAsia="Open Sans" w:hAnsi="Open Sans" w:cs="Open Sans"/>
          <w:sz w:val="20"/>
          <w:szCs w:val="20"/>
        </w:rPr>
        <w:t>characterisations</w:t>
      </w:r>
      <w:proofErr w:type="spellEnd"/>
      <w:r>
        <w:rPr>
          <w:rFonts w:ascii="Open Sans" w:eastAsia="Open Sans" w:hAnsi="Open Sans" w:cs="Open Sans"/>
          <w:sz w:val="20"/>
          <w:szCs w:val="20"/>
        </w:rPr>
        <w:t xml:space="preserve">: </w:t>
      </w:r>
    </w:p>
    <w:p w14:paraId="7E886A14" w14:textId="77777777" w:rsidR="00015284" w:rsidRDefault="00951C14">
      <w:pPr>
        <w:numPr>
          <w:ilvl w:val="1"/>
          <w:numId w:val="9"/>
        </w:numPr>
        <w:rPr>
          <w:rFonts w:ascii="Open Sans" w:eastAsia="Open Sans" w:hAnsi="Open Sans" w:cs="Open Sans"/>
          <w:sz w:val="20"/>
          <w:szCs w:val="20"/>
        </w:rPr>
      </w:pPr>
      <w:r>
        <w:rPr>
          <w:rFonts w:ascii="Open Sans" w:eastAsia="Open Sans" w:hAnsi="Open Sans" w:cs="Open Sans"/>
          <w:sz w:val="20"/>
          <w:szCs w:val="20"/>
        </w:rPr>
        <w:t xml:space="preserve">Monitoring, Reporting, and Verification (MRV) of Conservation Management Adoption </w:t>
      </w:r>
    </w:p>
    <w:p w14:paraId="525A82BE" w14:textId="77777777" w:rsidR="00015284" w:rsidRDefault="00951C14">
      <w:pPr>
        <w:numPr>
          <w:ilvl w:val="1"/>
          <w:numId w:val="9"/>
        </w:numPr>
        <w:rPr>
          <w:rFonts w:ascii="Open Sans" w:eastAsia="Open Sans" w:hAnsi="Open Sans" w:cs="Open Sans"/>
          <w:sz w:val="20"/>
          <w:szCs w:val="20"/>
        </w:rPr>
      </w:pPr>
      <w:r>
        <w:rPr>
          <w:rFonts w:ascii="Open Sans" w:eastAsia="Open Sans" w:hAnsi="Open Sans" w:cs="Open Sans"/>
          <w:sz w:val="20"/>
          <w:szCs w:val="20"/>
        </w:rPr>
        <w:t>Measure WCC performance (biomass, N content, fractional cover, carbon traits) to support adaptive management of environmental benefits, inform farmer decision making, and provide input to process based environmental models</w:t>
      </w:r>
      <w:r>
        <w:rPr>
          <w:rFonts w:ascii="Open Sans" w:eastAsia="Open Sans" w:hAnsi="Open Sans" w:cs="Open Sans"/>
          <w:sz w:val="20"/>
          <w:szCs w:val="20"/>
        </w:rPr>
        <w:tab/>
      </w:r>
      <w:r>
        <w:rPr>
          <w:rFonts w:ascii="Open Sans" w:eastAsia="Open Sans" w:hAnsi="Open Sans" w:cs="Open Sans"/>
          <w:sz w:val="20"/>
          <w:szCs w:val="20"/>
        </w:rPr>
        <w:tab/>
      </w:r>
    </w:p>
    <w:p w14:paraId="75568810" w14:textId="77777777" w:rsidR="00015284" w:rsidRDefault="00951C14">
      <w:pPr>
        <w:numPr>
          <w:ilvl w:val="0"/>
          <w:numId w:val="9"/>
        </w:numPr>
        <w:rPr>
          <w:rFonts w:ascii="Open Sans" w:eastAsia="Open Sans" w:hAnsi="Open Sans" w:cs="Open Sans"/>
          <w:sz w:val="20"/>
          <w:szCs w:val="20"/>
        </w:rPr>
      </w:pPr>
      <w:r>
        <w:rPr>
          <w:rFonts w:ascii="Open Sans" w:eastAsia="Open Sans" w:hAnsi="Open Sans" w:cs="Open Sans"/>
          <w:sz w:val="20"/>
          <w:szCs w:val="20"/>
        </w:rPr>
        <w:t>This is a set of 4 “Ag Information EAVs” with 6 “Input EAVs” which support them:</w:t>
      </w:r>
    </w:p>
    <w:p w14:paraId="13AED43D" w14:textId="77777777" w:rsidR="00015284" w:rsidRDefault="00951C14">
      <w:pPr>
        <w:numPr>
          <w:ilvl w:val="1"/>
          <w:numId w:val="9"/>
        </w:numPr>
        <w:rPr>
          <w:rFonts w:ascii="Open Sans" w:eastAsia="Open Sans" w:hAnsi="Open Sans" w:cs="Open Sans"/>
          <w:sz w:val="20"/>
          <w:szCs w:val="20"/>
        </w:rPr>
      </w:pPr>
      <w:r>
        <w:rPr>
          <w:rFonts w:ascii="Open Sans" w:eastAsia="Open Sans" w:hAnsi="Open Sans" w:cs="Open Sans"/>
          <w:sz w:val="20"/>
          <w:szCs w:val="20"/>
        </w:rPr>
        <w:t>Ag Information EAVs</w:t>
      </w:r>
    </w:p>
    <w:p w14:paraId="3510D68B" w14:textId="77777777" w:rsidR="00015284" w:rsidRDefault="00951C14">
      <w:pPr>
        <w:numPr>
          <w:ilvl w:val="0"/>
          <w:numId w:val="4"/>
        </w:numPr>
        <w:rPr>
          <w:rFonts w:ascii="Open Sans" w:eastAsia="Open Sans" w:hAnsi="Open Sans" w:cs="Open Sans"/>
          <w:sz w:val="20"/>
          <w:szCs w:val="20"/>
        </w:rPr>
      </w:pPr>
      <w:r>
        <w:rPr>
          <w:rFonts w:ascii="Open Sans" w:eastAsia="Open Sans" w:hAnsi="Open Sans" w:cs="Open Sans"/>
          <w:sz w:val="20"/>
          <w:szCs w:val="20"/>
        </w:rPr>
        <w:t>Seasonable Cover Crop Presence/</w:t>
      </w:r>
      <w:proofErr w:type="spellStart"/>
      <w:r>
        <w:rPr>
          <w:rFonts w:ascii="Open Sans" w:eastAsia="Open Sans" w:hAnsi="Open Sans" w:cs="Open Sans"/>
          <w:sz w:val="20"/>
          <w:szCs w:val="20"/>
        </w:rPr>
        <w:t>Abscense</w:t>
      </w:r>
      <w:proofErr w:type="spellEnd"/>
      <w:r>
        <w:rPr>
          <w:rFonts w:ascii="Open Sans" w:eastAsia="Open Sans" w:hAnsi="Open Sans" w:cs="Open Sans"/>
          <w:sz w:val="20"/>
          <w:szCs w:val="20"/>
        </w:rPr>
        <w:t>, nested thusly:</w:t>
      </w:r>
    </w:p>
    <w:p w14:paraId="620356AE" w14:textId="77777777" w:rsidR="00015284" w:rsidRDefault="00951C14">
      <w:pPr>
        <w:ind w:left="720"/>
        <w:rPr>
          <w:rFonts w:ascii="Open Sans" w:eastAsia="Open Sans" w:hAnsi="Open Sans" w:cs="Open Sans"/>
          <w:sz w:val="20"/>
          <w:szCs w:val="20"/>
        </w:rPr>
      </w:pPr>
      <w:r>
        <w:rPr>
          <w:rFonts w:ascii="Open Sans" w:eastAsia="Open Sans" w:hAnsi="Open Sans" w:cs="Open Sans"/>
          <w:noProof/>
          <w:sz w:val="20"/>
          <w:szCs w:val="20"/>
        </w:rPr>
        <w:lastRenderedPageBreak/>
        <mc:AlternateContent>
          <mc:Choice Requires="wpg">
            <w:drawing>
              <wp:inline distT="114300" distB="114300" distL="114300" distR="114300" wp14:anchorId="0BF69113" wp14:editId="0D2841EC">
                <wp:extent cx="4989195" cy="1535137"/>
                <wp:effectExtent l="0" t="0" r="0" b="0"/>
                <wp:docPr id="1" name="Group 1"/>
                <wp:cNvGraphicFramePr/>
                <a:graphic xmlns:a="http://schemas.openxmlformats.org/drawingml/2006/main">
                  <a:graphicData uri="http://schemas.microsoft.com/office/word/2010/wordprocessingGroup">
                    <wpg:wgp>
                      <wpg:cNvGrpSpPr/>
                      <wpg:grpSpPr>
                        <a:xfrm>
                          <a:off x="0" y="0"/>
                          <a:ext cx="4989195" cy="1535137"/>
                          <a:chOff x="767950" y="104025"/>
                          <a:chExt cx="7909100" cy="2426875"/>
                        </a:xfrm>
                      </wpg:grpSpPr>
                      <wps:wsp>
                        <wps:cNvPr id="2" name="Rectangle 2"/>
                        <wps:cNvSpPr/>
                        <wps:spPr>
                          <a:xfrm>
                            <a:off x="772725" y="614225"/>
                            <a:ext cx="1753500" cy="812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50024572" w14:textId="77777777" w:rsidR="00015284" w:rsidRDefault="00951C14">
                              <w:pPr>
                                <w:spacing w:line="240" w:lineRule="auto"/>
                                <w:jc w:val="center"/>
                                <w:textDirection w:val="btLr"/>
                              </w:pPr>
                              <w:r>
                                <w:rPr>
                                  <w:rFonts w:ascii="Open Sans" w:eastAsia="Open Sans" w:hAnsi="Open Sans" w:cs="Open Sans"/>
                                  <w:color w:val="000000"/>
                                  <w:sz w:val="28"/>
                                </w:rPr>
                                <w:t>Seasonal Green Cover</w:t>
                              </w:r>
                            </w:p>
                          </w:txbxContent>
                        </wps:txbx>
                        <wps:bodyPr spcFirstLastPara="1" wrap="square" lIns="91425" tIns="91425" rIns="91425" bIns="91425" anchor="ctr" anchorCtr="0">
                          <a:noAutofit/>
                        </wps:bodyPr>
                      </wps:wsp>
                      <wps:wsp>
                        <wps:cNvPr id="4" name="Straight Arrow Connector 4"/>
                        <wps:cNvCnPr/>
                        <wps:spPr>
                          <a:xfrm rot="10800000" flipH="1">
                            <a:off x="2526225" y="525125"/>
                            <a:ext cx="713400" cy="495300"/>
                          </a:xfrm>
                          <a:prstGeom prst="straightConnector1">
                            <a:avLst/>
                          </a:prstGeom>
                          <a:noFill/>
                          <a:ln w="9525" cap="flat" cmpd="sng">
                            <a:solidFill>
                              <a:srgbClr val="000000"/>
                            </a:solidFill>
                            <a:prstDash val="solid"/>
                            <a:round/>
                            <a:headEnd type="none" w="med" len="med"/>
                            <a:tailEnd type="none" w="med" len="med"/>
                          </a:ln>
                        </wps:spPr>
                        <wps:bodyPr/>
                      </wps:wsp>
                      <wps:wsp>
                        <wps:cNvPr id="5" name="Rectangle 5"/>
                        <wps:cNvSpPr/>
                        <wps:spPr>
                          <a:xfrm>
                            <a:off x="3239625" y="108800"/>
                            <a:ext cx="1466100" cy="812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2CFF0C3" w14:textId="77777777" w:rsidR="00015284" w:rsidRDefault="00951C14">
                              <w:pPr>
                                <w:spacing w:line="240" w:lineRule="auto"/>
                                <w:jc w:val="center"/>
                                <w:textDirection w:val="btLr"/>
                              </w:pPr>
                              <w:r>
                                <w:rPr>
                                  <w:rFonts w:ascii="Open Sans" w:eastAsia="Open Sans" w:hAnsi="Open Sans" w:cs="Open Sans"/>
                                  <w:color w:val="000000"/>
                                  <w:sz w:val="28"/>
                                </w:rPr>
                                <w:t>Environmental Cover (weeds, “volunteers”)</w:t>
                              </w:r>
                            </w:p>
                          </w:txbxContent>
                        </wps:txbx>
                        <wps:bodyPr spcFirstLastPara="1" wrap="square" lIns="91425" tIns="91425" rIns="91425" bIns="91425" anchor="ctr" anchorCtr="0">
                          <a:noAutofit/>
                        </wps:bodyPr>
                      </wps:wsp>
                      <wps:wsp>
                        <wps:cNvPr id="8" name="Rectangle 8"/>
                        <wps:cNvSpPr/>
                        <wps:spPr>
                          <a:xfrm>
                            <a:off x="3239625" y="1119323"/>
                            <a:ext cx="1466100" cy="14067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65380BB9" w14:textId="77777777" w:rsidR="00015284" w:rsidRDefault="00951C14">
                              <w:pPr>
                                <w:spacing w:line="240" w:lineRule="auto"/>
                                <w:jc w:val="center"/>
                                <w:textDirection w:val="btLr"/>
                              </w:pPr>
                              <w:r>
                                <w:rPr>
                                  <w:rFonts w:ascii="Open Sans" w:eastAsia="Open Sans" w:hAnsi="Open Sans" w:cs="Open Sans"/>
                                  <w:color w:val="000000"/>
                                  <w:sz w:val="28"/>
                                </w:rPr>
                                <w:t>Agricultural Cover (intentionally sown)</w:t>
                              </w:r>
                            </w:p>
                          </w:txbxContent>
                        </wps:txbx>
                        <wps:bodyPr spcFirstLastPara="1" wrap="square" lIns="91425" tIns="91425" rIns="91425" bIns="91425" anchor="ctr" anchorCtr="0">
                          <a:noAutofit/>
                        </wps:bodyPr>
                      </wps:wsp>
                      <wps:wsp>
                        <wps:cNvPr id="9" name="Straight Arrow Connector 9"/>
                        <wps:cNvCnPr/>
                        <wps:spPr>
                          <a:xfrm>
                            <a:off x="2526225" y="1020425"/>
                            <a:ext cx="713400" cy="802200"/>
                          </a:xfrm>
                          <a:prstGeom prst="straightConnector1">
                            <a:avLst/>
                          </a:prstGeom>
                          <a:noFill/>
                          <a:ln w="9525" cap="flat" cmpd="sng">
                            <a:solidFill>
                              <a:srgbClr val="000000"/>
                            </a:solidFill>
                            <a:prstDash val="solid"/>
                            <a:round/>
                            <a:headEnd type="none" w="med" len="med"/>
                            <a:tailEnd type="none" w="med" len="med"/>
                          </a:ln>
                        </wps:spPr>
                        <wps:bodyPr/>
                      </wps:wsp>
                      <wps:wsp>
                        <wps:cNvPr id="10" name="Rectangle 10"/>
                        <wps:cNvSpPr/>
                        <wps:spPr>
                          <a:xfrm>
                            <a:off x="4977125" y="1119325"/>
                            <a:ext cx="1710000" cy="8124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10F3978A" w14:textId="77777777" w:rsidR="00015284" w:rsidRDefault="00951C14">
                              <w:pPr>
                                <w:spacing w:line="240" w:lineRule="auto"/>
                                <w:jc w:val="center"/>
                                <w:textDirection w:val="btLr"/>
                              </w:pPr>
                              <w:r>
                                <w:rPr>
                                  <w:rFonts w:ascii="Open Sans" w:eastAsia="Open Sans" w:hAnsi="Open Sans" w:cs="Open Sans"/>
                                  <w:b/>
                                  <w:color w:val="000000"/>
                                  <w:sz w:val="28"/>
                                </w:rPr>
                                <w:t>Seasonal Cover Crop (incentive-based, non-harvested)</w:t>
                              </w:r>
                            </w:p>
                          </w:txbxContent>
                        </wps:txbx>
                        <wps:bodyPr spcFirstLastPara="1" wrap="square" lIns="91425" tIns="91425" rIns="91425" bIns="91425" anchor="ctr" anchorCtr="0">
                          <a:noAutofit/>
                        </wps:bodyPr>
                      </wps:wsp>
                      <wps:wsp>
                        <wps:cNvPr id="11" name="Rectangle 11"/>
                        <wps:cNvSpPr/>
                        <wps:spPr>
                          <a:xfrm>
                            <a:off x="4977125" y="2129825"/>
                            <a:ext cx="1710000" cy="3963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37B4F1DF" w14:textId="77777777" w:rsidR="00015284" w:rsidRDefault="00951C14">
                              <w:pPr>
                                <w:spacing w:line="240" w:lineRule="auto"/>
                                <w:jc w:val="center"/>
                                <w:textDirection w:val="btLr"/>
                              </w:pPr>
                              <w:r>
                                <w:rPr>
                                  <w:rFonts w:ascii="Open Sans" w:eastAsia="Open Sans" w:hAnsi="Open Sans" w:cs="Open Sans"/>
                                  <w:color w:val="000000"/>
                                  <w:sz w:val="28"/>
                                </w:rPr>
                                <w:t>Harvestable Crop</w:t>
                              </w:r>
                            </w:p>
                          </w:txbxContent>
                        </wps:txbx>
                        <wps:bodyPr spcFirstLastPara="1" wrap="square" lIns="91425" tIns="91425" rIns="91425" bIns="91425" anchor="ctr" anchorCtr="0">
                          <a:noAutofit/>
                        </wps:bodyPr>
                      </wps:wsp>
                      <wps:wsp>
                        <wps:cNvPr id="12" name="Straight Arrow Connector 12"/>
                        <wps:cNvCnPr/>
                        <wps:spPr>
                          <a:xfrm rot="10800000" flipH="1">
                            <a:off x="4705725" y="1525673"/>
                            <a:ext cx="271500" cy="297000"/>
                          </a:xfrm>
                          <a:prstGeom prst="straightConnector1">
                            <a:avLst/>
                          </a:prstGeom>
                          <a:noFill/>
                          <a:ln w="9525" cap="flat" cmpd="sng">
                            <a:solidFill>
                              <a:srgbClr val="000000"/>
                            </a:solidFill>
                            <a:prstDash val="solid"/>
                            <a:round/>
                            <a:headEnd type="none" w="med" len="med"/>
                            <a:tailEnd type="none" w="med" len="med"/>
                          </a:ln>
                        </wps:spPr>
                        <wps:bodyPr/>
                      </wps:wsp>
                      <wps:wsp>
                        <wps:cNvPr id="13" name="Straight Arrow Connector 13"/>
                        <wps:cNvCnPr/>
                        <wps:spPr>
                          <a:xfrm>
                            <a:off x="4705725" y="1822673"/>
                            <a:ext cx="271500" cy="505200"/>
                          </a:xfrm>
                          <a:prstGeom prst="straightConnector1">
                            <a:avLst/>
                          </a:prstGeom>
                          <a:noFill/>
                          <a:ln w="9525" cap="flat" cmpd="sng">
                            <a:solidFill>
                              <a:srgbClr val="000000"/>
                            </a:solidFill>
                            <a:prstDash val="solid"/>
                            <a:round/>
                            <a:headEnd type="none" w="med" len="med"/>
                            <a:tailEnd type="none" w="med" len="med"/>
                          </a:ln>
                        </wps:spPr>
                        <wps:bodyPr/>
                      </wps:wsp>
                      <wps:wsp>
                        <wps:cNvPr id="14" name="Rectangle 14"/>
                        <wps:cNvSpPr/>
                        <wps:spPr>
                          <a:xfrm>
                            <a:off x="6962275" y="2129825"/>
                            <a:ext cx="1710000" cy="3963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7C48DBE6" w14:textId="77777777" w:rsidR="00015284" w:rsidRDefault="00951C14">
                              <w:pPr>
                                <w:spacing w:line="240" w:lineRule="auto"/>
                                <w:jc w:val="center"/>
                                <w:textDirection w:val="btLr"/>
                              </w:pPr>
                              <w:r>
                                <w:rPr>
                                  <w:rFonts w:ascii="Open Sans" w:eastAsia="Open Sans" w:hAnsi="Open Sans" w:cs="Open Sans"/>
                                  <w:color w:val="000000"/>
                                  <w:sz w:val="28"/>
                                </w:rPr>
                                <w:t>Crop Type</w:t>
                              </w:r>
                            </w:p>
                          </w:txbxContent>
                        </wps:txbx>
                        <wps:bodyPr spcFirstLastPara="1" wrap="square" lIns="91425" tIns="91425" rIns="91425" bIns="91425" anchor="ctr" anchorCtr="0">
                          <a:noAutofit/>
                        </wps:bodyPr>
                      </wps:wsp>
                      <wps:wsp>
                        <wps:cNvPr id="15" name="Straight Arrow Connector 15"/>
                        <wps:cNvCnPr/>
                        <wps:spPr>
                          <a:xfrm>
                            <a:off x="6687125" y="2327975"/>
                            <a:ext cx="275100" cy="0"/>
                          </a:xfrm>
                          <a:prstGeom prst="straightConnector1">
                            <a:avLst/>
                          </a:prstGeom>
                          <a:noFill/>
                          <a:ln w="9525" cap="flat" cmpd="sng">
                            <a:solidFill>
                              <a:srgbClr val="000000"/>
                            </a:solidFill>
                            <a:prstDash val="solid"/>
                            <a:round/>
                            <a:headEnd type="none" w="med" len="med"/>
                            <a:tailEnd type="none" w="med" len="med"/>
                          </a:ln>
                        </wps:spPr>
                        <wps:bodyPr/>
                      </wps:wsp>
                    </wpg:wgp>
                  </a:graphicData>
                </a:graphic>
              </wp:inline>
            </w:drawing>
          </mc:Choice>
          <mc:Fallback>
            <w:pict>
              <v:group w14:anchorId="0BF69113" id="_x0000_s1026" style="width:392.85pt;height:120.9pt;mso-position-horizontal-relative:char;mso-position-vertical-relative:line" coordorigin="7679,1040" coordsize="79091,24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">
                <v:rect id="Rectangle 2" o:spid="_x0000_s1027" style="position:absolute;left:7727;top:6142;width:17535;height:8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" fillcolor="#cfe2f3">
                  <v:stroke startarrowwidth="narrow" startarrowlength="short" endarrowwidth="narrow" endarrowlength="short" joinstyle="round"/>
                  <v:textbox inset="2.53958mm,2.53958mm,2.53958mm,2.53958mm">
                    <w:txbxContent>
                      <w:p w14:paraId="50024572" w14:textId="77777777" w:rsidR="00015284" w:rsidRDefault="00951C14">
                        <w:pPr>
                          <w:spacing w:line="240" w:lineRule="auto"/>
                          <w:jc w:val="center"/>
                          <w:textDirection w:val="btLr"/>
                        </w:pPr>
                        <w:r>
                          <w:rPr>
                            <w:rFonts w:ascii="Open Sans" w:eastAsia="Open Sans" w:hAnsi="Open Sans" w:cs="Open Sans"/>
                            <w:color w:val="000000"/>
                            <w:sz w:val="28"/>
                          </w:rPr>
                          <w:t>Seasonal Green Cover</w:t>
                        </w:r>
                      </w:p>
                    </w:txbxContent>
                  </v:textbox>
                </v:rect>
                <v:shapetype id="_x0000_t32" coordsize="21600,21600" o:spt="32" o:oned="t" path="m,l21600,21600e" filled="f">
                  <v:path arrowok="t" fillok="f" o:connecttype="none"/>
                  <o:lock v:ext="edit" shapetype="t"/>
                </v:shapetype>
                <v:shape id="Straight Arrow Connector 4" o:spid="_x0000_s1028" type="#_x0000_t32" style="position:absolute;left:25262;top:5251;width:7134;height:4953;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"/>
                <v:rect id="Rectangle 5" o:spid="_x0000_s1029" style="position:absolute;left:32396;top:1088;width:14661;height:8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" fillcolor="#cfe2f3">
                  <v:stroke startarrowwidth="narrow" startarrowlength="short" endarrowwidth="narrow" endarrowlength="short" joinstyle="round"/>
                  <v:textbox inset="2.53958mm,2.53958mm,2.53958mm,2.53958mm">
                    <w:txbxContent>
                      <w:p w14:paraId="62CFF0C3" w14:textId="77777777" w:rsidR="00015284" w:rsidRDefault="00951C14">
                        <w:pPr>
                          <w:spacing w:line="240" w:lineRule="auto"/>
                          <w:jc w:val="center"/>
                          <w:textDirection w:val="btLr"/>
                        </w:pPr>
                        <w:r>
                          <w:rPr>
                            <w:rFonts w:ascii="Open Sans" w:eastAsia="Open Sans" w:hAnsi="Open Sans" w:cs="Open Sans"/>
                            <w:color w:val="000000"/>
                            <w:sz w:val="28"/>
                          </w:rPr>
                          <w:t>Environmental Cover (weeds, “volunteers”)</w:t>
                        </w:r>
                      </w:p>
                    </w:txbxContent>
                  </v:textbox>
                </v:rect>
                <v:rect id="Rectangle 8" o:spid="_x0000_s1030" style="position:absolute;left:32396;top:11193;width:14661;height:14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" fillcolor="#cfe2f3">
                  <v:stroke startarrowwidth="narrow" startarrowlength="short" endarrowwidth="narrow" endarrowlength="short" joinstyle="round"/>
                  <v:textbox inset="2.53958mm,2.53958mm,2.53958mm,2.53958mm">
                    <w:txbxContent>
                      <w:p w14:paraId="65380BB9" w14:textId="77777777" w:rsidR="00015284" w:rsidRDefault="00951C14">
                        <w:pPr>
                          <w:spacing w:line="240" w:lineRule="auto"/>
                          <w:jc w:val="center"/>
                          <w:textDirection w:val="btLr"/>
                        </w:pPr>
                        <w:r>
                          <w:rPr>
                            <w:rFonts w:ascii="Open Sans" w:eastAsia="Open Sans" w:hAnsi="Open Sans" w:cs="Open Sans"/>
                            <w:color w:val="000000"/>
                            <w:sz w:val="28"/>
                          </w:rPr>
                          <w:t>Agricultural Cover (intentionally sown)</w:t>
                        </w:r>
                      </w:p>
                    </w:txbxContent>
                  </v:textbox>
                </v:rect>
                <v:shape id="Straight Arrow Connector 9" o:spid="_x0000_s1031" type="#_x0000_t32" style="position:absolute;left:25262;top:10204;width:7134;height:80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rect id="Rectangle 10" o:spid="_x0000_s1032" style="position:absolute;left:49771;top:11193;width:17100;height:8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" fillcolor="#cfe2f3">
                  <v:stroke startarrowwidth="narrow" startarrowlength="short" endarrowwidth="narrow" endarrowlength="short" joinstyle="round"/>
                  <v:textbox inset="2.53958mm,2.53958mm,2.53958mm,2.53958mm">
                    <w:txbxContent>
                      <w:p w14:paraId="10F3978A" w14:textId="77777777" w:rsidR="00015284" w:rsidRDefault="00951C14">
                        <w:pPr>
                          <w:spacing w:line="240" w:lineRule="auto"/>
                          <w:jc w:val="center"/>
                          <w:textDirection w:val="btLr"/>
                        </w:pPr>
                        <w:r>
                          <w:rPr>
                            <w:rFonts w:ascii="Open Sans" w:eastAsia="Open Sans" w:hAnsi="Open Sans" w:cs="Open Sans"/>
                            <w:b/>
                            <w:color w:val="000000"/>
                            <w:sz w:val="28"/>
                          </w:rPr>
                          <w:t>Seasonal Cover Crop (incentive-based, non-harvested)</w:t>
                        </w:r>
                      </w:p>
                    </w:txbxContent>
                  </v:textbox>
                </v:rect>
                <v:rect id="Rectangle 11" o:spid="_x0000_s1033" style="position:absolute;left:49771;top:21298;width:17100;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" fillcolor="#cfe2f3">
                  <v:stroke startarrowwidth="narrow" startarrowlength="short" endarrowwidth="narrow" endarrowlength="short" joinstyle="round"/>
                  <v:textbox inset="2.53958mm,2.53958mm,2.53958mm,2.53958mm">
                    <w:txbxContent>
                      <w:p w14:paraId="37B4F1DF" w14:textId="77777777" w:rsidR="00015284" w:rsidRDefault="00951C14">
                        <w:pPr>
                          <w:spacing w:line="240" w:lineRule="auto"/>
                          <w:jc w:val="center"/>
                          <w:textDirection w:val="btLr"/>
                        </w:pPr>
                        <w:r>
                          <w:rPr>
                            <w:rFonts w:ascii="Open Sans" w:eastAsia="Open Sans" w:hAnsi="Open Sans" w:cs="Open Sans"/>
                            <w:color w:val="000000"/>
                            <w:sz w:val="28"/>
                          </w:rPr>
                          <w:t>Harvestable Crop</w:t>
                        </w:r>
                      </w:p>
                    </w:txbxContent>
                  </v:textbox>
                </v:rect>
                <v:shape id="Straight Arrow Connector 12" o:spid="_x0000_s1034" type="#_x0000_t32" style="position:absolute;left:47057;top:15256;width:2715;height:297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"/>
                <v:shape id="Straight Arrow Connector 13" o:spid="_x0000_s1035" type="#_x0000_t32" style="position:absolute;left:47057;top:18226;width:2715;height:5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v:rect id="Rectangle 14" o:spid="_x0000_s1036" style="position:absolute;left:69622;top:21298;width:17100;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" fillcolor="#cfe2f3">
                  <v:stroke startarrowwidth="narrow" startarrowlength="short" endarrowwidth="narrow" endarrowlength="short" joinstyle="round"/>
                  <v:textbox inset="2.53958mm,2.53958mm,2.53958mm,2.53958mm">
                    <w:txbxContent>
                      <w:p w14:paraId="7C48DBE6" w14:textId="77777777" w:rsidR="00015284" w:rsidRDefault="00951C14">
                        <w:pPr>
                          <w:spacing w:line="240" w:lineRule="auto"/>
                          <w:jc w:val="center"/>
                          <w:textDirection w:val="btLr"/>
                        </w:pPr>
                        <w:r>
                          <w:rPr>
                            <w:rFonts w:ascii="Open Sans" w:eastAsia="Open Sans" w:hAnsi="Open Sans" w:cs="Open Sans"/>
                            <w:color w:val="000000"/>
                            <w:sz w:val="28"/>
                          </w:rPr>
                          <w:t>Crop Type</w:t>
                        </w:r>
                      </w:p>
                    </w:txbxContent>
                  </v:textbox>
                </v:rect>
                <v:shape id="Straight Arrow Connector 15" o:spid="_x0000_s1037" type="#_x0000_t32" style="position:absolute;left:66871;top:23279;width:27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"/>
                <w10:anchorlock/>
              </v:group>
            </w:pict>
          </mc:Fallback>
        </mc:AlternateConten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p>
    <w:p w14:paraId="3521364A" w14:textId="77777777" w:rsidR="00015284" w:rsidRDefault="00951C14">
      <w:pPr>
        <w:numPr>
          <w:ilvl w:val="0"/>
          <w:numId w:val="4"/>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Seasonal Cover Crop Performance</w:t>
      </w:r>
    </w:p>
    <w:p w14:paraId="562C8FFF" w14:textId="77777777" w:rsidR="00015284" w:rsidRDefault="00951C14">
      <w:pPr>
        <w:numPr>
          <w:ilvl w:val="0"/>
          <w:numId w:val="4"/>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Seasonal Cover Crop Functional Type</w:t>
      </w:r>
    </w:p>
    <w:p w14:paraId="069CFEAF" w14:textId="77777777" w:rsidR="00015284" w:rsidRDefault="00951C14">
      <w:pPr>
        <w:numPr>
          <w:ilvl w:val="0"/>
          <w:numId w:val="4"/>
        </w:numPr>
        <w:pBdr>
          <w:top w:val="nil"/>
          <w:left w:val="nil"/>
          <w:bottom w:val="nil"/>
          <w:right w:val="nil"/>
          <w:between w:val="nil"/>
        </w:pBdr>
        <w:rPr>
          <w:rFonts w:ascii="Open Sans" w:eastAsia="Open Sans" w:hAnsi="Open Sans" w:cs="Open Sans"/>
          <w:sz w:val="20"/>
          <w:szCs w:val="20"/>
        </w:rPr>
      </w:pPr>
      <w:r>
        <w:rPr>
          <w:rFonts w:ascii="Open Sans" w:eastAsia="Open Sans" w:hAnsi="Open Sans" w:cs="Open Sans"/>
          <w:sz w:val="20"/>
          <w:szCs w:val="20"/>
        </w:rPr>
        <w:t xml:space="preserve">Dynamic Cropland Management Calendar    </w:t>
      </w:r>
      <w:r>
        <w:rPr>
          <w:rFonts w:ascii="Open Sans" w:eastAsia="Open Sans" w:hAnsi="Open Sans" w:cs="Open Sans"/>
          <w:sz w:val="20"/>
          <w:szCs w:val="20"/>
        </w:rPr>
        <w:tab/>
      </w:r>
      <w:r>
        <w:rPr>
          <w:rFonts w:ascii="Open Sans" w:eastAsia="Open Sans" w:hAnsi="Open Sans" w:cs="Open Sans"/>
          <w:sz w:val="20"/>
          <w:szCs w:val="20"/>
        </w:rPr>
        <w:tab/>
      </w:r>
    </w:p>
    <w:p w14:paraId="4FE33945" w14:textId="77777777" w:rsidR="00015284" w:rsidRDefault="00951C14">
      <w:pPr>
        <w:numPr>
          <w:ilvl w:val="1"/>
          <w:numId w:val="9"/>
        </w:numPr>
        <w:rPr>
          <w:rFonts w:ascii="Open Sans" w:eastAsia="Open Sans" w:hAnsi="Open Sans" w:cs="Open Sans"/>
          <w:sz w:val="20"/>
          <w:szCs w:val="20"/>
        </w:rPr>
      </w:pPr>
      <w:r>
        <w:rPr>
          <w:rFonts w:ascii="Open Sans" w:eastAsia="Open Sans" w:hAnsi="Open Sans" w:cs="Open Sans"/>
          <w:sz w:val="20"/>
          <w:szCs w:val="20"/>
        </w:rPr>
        <w:t>Input EAVs:</w:t>
      </w:r>
    </w:p>
    <w:p w14:paraId="5B18E0A9" w14:textId="77777777" w:rsidR="00015284" w:rsidRDefault="00951C14">
      <w:pPr>
        <w:numPr>
          <w:ilvl w:val="2"/>
          <w:numId w:val="9"/>
        </w:numPr>
        <w:rPr>
          <w:rFonts w:ascii="Open Sans" w:eastAsia="Open Sans" w:hAnsi="Open Sans" w:cs="Open Sans"/>
          <w:sz w:val="20"/>
          <w:szCs w:val="20"/>
        </w:rPr>
      </w:pPr>
      <w:r>
        <w:rPr>
          <w:rFonts w:ascii="Arial Unicode MS" w:eastAsia="Arial Unicode MS" w:hAnsi="Arial Unicode MS" w:cs="Arial Unicode MS"/>
          <w:sz w:val="20"/>
          <w:szCs w:val="20"/>
        </w:rPr>
        <w:t>Fractional Ground Cover → Supports Ag Info EAVs #1, 2</w:t>
      </w:r>
    </w:p>
    <w:p w14:paraId="646F9001" w14:textId="77777777" w:rsidR="00015284" w:rsidRDefault="00951C14">
      <w:pPr>
        <w:numPr>
          <w:ilvl w:val="2"/>
          <w:numId w:val="9"/>
        </w:numPr>
        <w:rPr>
          <w:rFonts w:ascii="Open Sans" w:eastAsia="Open Sans" w:hAnsi="Open Sans" w:cs="Open Sans"/>
          <w:sz w:val="20"/>
          <w:szCs w:val="20"/>
        </w:rPr>
      </w:pPr>
      <w:r>
        <w:rPr>
          <w:rFonts w:ascii="Arial Unicode MS" w:eastAsia="Arial Unicode MS" w:hAnsi="Arial Unicode MS" w:cs="Arial Unicode MS"/>
          <w:sz w:val="20"/>
          <w:szCs w:val="20"/>
        </w:rPr>
        <w:t>Aboveground Biomass → Supports Ag Info EAVs #1, 2</w:t>
      </w:r>
    </w:p>
    <w:p w14:paraId="26F463AF" w14:textId="77777777" w:rsidR="00015284" w:rsidRDefault="00951C14">
      <w:pPr>
        <w:numPr>
          <w:ilvl w:val="2"/>
          <w:numId w:val="9"/>
        </w:numPr>
        <w:rPr>
          <w:rFonts w:ascii="Open Sans" w:eastAsia="Open Sans" w:hAnsi="Open Sans" w:cs="Open Sans"/>
          <w:sz w:val="20"/>
          <w:szCs w:val="20"/>
        </w:rPr>
      </w:pPr>
      <w:r>
        <w:rPr>
          <w:rFonts w:ascii="Arial Unicode MS" w:eastAsia="Arial Unicode MS" w:hAnsi="Arial Unicode MS" w:cs="Arial Unicode MS"/>
          <w:sz w:val="20"/>
          <w:szCs w:val="20"/>
        </w:rPr>
        <w:t>Foliar Nitrogen Content → Supports Ag Info EAVs #2, 3</w:t>
      </w:r>
    </w:p>
    <w:p w14:paraId="08A10AF1" w14:textId="77777777" w:rsidR="00015284" w:rsidRDefault="00951C14">
      <w:pPr>
        <w:numPr>
          <w:ilvl w:val="2"/>
          <w:numId w:val="9"/>
        </w:numPr>
        <w:rPr>
          <w:rFonts w:ascii="Open Sans" w:eastAsia="Open Sans" w:hAnsi="Open Sans" w:cs="Open Sans"/>
          <w:sz w:val="20"/>
          <w:szCs w:val="20"/>
        </w:rPr>
      </w:pPr>
      <w:r>
        <w:rPr>
          <w:rFonts w:ascii="Arial Unicode MS" w:eastAsia="Arial Unicode MS" w:hAnsi="Arial Unicode MS" w:cs="Arial Unicode MS"/>
          <w:sz w:val="20"/>
          <w:szCs w:val="20"/>
        </w:rPr>
        <w:t>Forage Quality Carbon Traits → Supports Ag Info EAVs #2, 3</w:t>
      </w:r>
    </w:p>
    <w:p w14:paraId="252D7547" w14:textId="77777777" w:rsidR="00015284" w:rsidRDefault="00951C14">
      <w:pPr>
        <w:numPr>
          <w:ilvl w:val="2"/>
          <w:numId w:val="9"/>
        </w:numPr>
        <w:rPr>
          <w:rFonts w:ascii="Open Sans" w:eastAsia="Open Sans" w:hAnsi="Open Sans" w:cs="Open Sans"/>
          <w:sz w:val="20"/>
          <w:szCs w:val="20"/>
        </w:rPr>
      </w:pPr>
      <w:r>
        <w:rPr>
          <w:rFonts w:ascii="Open Sans" w:eastAsia="Open Sans" w:hAnsi="Open Sans" w:cs="Open Sans"/>
          <w:sz w:val="20"/>
          <w:szCs w:val="20"/>
        </w:rPr>
        <w:t xml:space="preserve">Dynamic Crop Calendar; Attributes: </w:t>
      </w:r>
    </w:p>
    <w:p w14:paraId="5BF8E155" w14:textId="77777777" w:rsidR="00015284" w:rsidRDefault="00951C14">
      <w:pPr>
        <w:numPr>
          <w:ilvl w:val="3"/>
          <w:numId w:val="9"/>
        </w:numPr>
        <w:rPr>
          <w:rFonts w:ascii="Open Sans" w:eastAsia="Open Sans" w:hAnsi="Open Sans" w:cs="Open Sans"/>
          <w:sz w:val="20"/>
          <w:szCs w:val="20"/>
        </w:rPr>
      </w:pPr>
      <w:r>
        <w:rPr>
          <w:rFonts w:ascii="Arial Unicode MS" w:eastAsia="Arial Unicode MS" w:hAnsi="Arial Unicode MS" w:cs="Arial Unicode MS"/>
          <w:sz w:val="20"/>
          <w:szCs w:val="20"/>
        </w:rPr>
        <w:t xml:space="preserve">Emergence Date </w:t>
      </w:r>
      <w:proofErr w:type="gramStart"/>
      <w:r>
        <w:rPr>
          <w:rFonts w:ascii="Arial Unicode MS" w:eastAsia="Arial Unicode MS" w:hAnsi="Arial Unicode MS" w:cs="Arial Unicode MS"/>
          <w:sz w:val="20"/>
          <w:szCs w:val="20"/>
        </w:rPr>
        <w:t>→  Supports</w:t>
      </w:r>
      <w:proofErr w:type="gramEnd"/>
      <w:r>
        <w:rPr>
          <w:rFonts w:ascii="Arial Unicode MS" w:eastAsia="Arial Unicode MS" w:hAnsi="Arial Unicode MS" w:cs="Arial Unicode MS"/>
          <w:sz w:val="20"/>
          <w:szCs w:val="20"/>
        </w:rPr>
        <w:t xml:space="preserve"> Ag Info EAVs #1, 3, 4</w:t>
      </w:r>
    </w:p>
    <w:p w14:paraId="75E97116" w14:textId="77777777" w:rsidR="00015284" w:rsidRDefault="00951C14">
      <w:pPr>
        <w:numPr>
          <w:ilvl w:val="3"/>
          <w:numId w:val="9"/>
        </w:numPr>
        <w:rPr>
          <w:rFonts w:ascii="Open Sans" w:eastAsia="Open Sans" w:hAnsi="Open Sans" w:cs="Open Sans"/>
          <w:sz w:val="20"/>
          <w:szCs w:val="20"/>
        </w:rPr>
      </w:pPr>
      <w:r>
        <w:rPr>
          <w:rFonts w:ascii="Arial Unicode MS" w:eastAsia="Arial Unicode MS" w:hAnsi="Arial Unicode MS" w:cs="Arial Unicode MS"/>
          <w:sz w:val="20"/>
          <w:szCs w:val="20"/>
        </w:rPr>
        <w:t>Termination Date → Supports Ag Info EAVs #1, 3, 4</w:t>
      </w:r>
    </w:p>
    <w:p w14:paraId="17A458D3" w14:textId="77777777" w:rsidR="00015284" w:rsidRDefault="00951C14">
      <w:pPr>
        <w:numPr>
          <w:ilvl w:val="2"/>
          <w:numId w:val="9"/>
        </w:numPr>
        <w:rPr>
          <w:rFonts w:ascii="Open Sans" w:eastAsia="Open Sans" w:hAnsi="Open Sans" w:cs="Open Sans"/>
          <w:sz w:val="20"/>
          <w:szCs w:val="20"/>
        </w:rPr>
      </w:pPr>
      <w:r>
        <w:rPr>
          <w:rFonts w:ascii="Arial Unicode MS" w:eastAsia="Arial Unicode MS" w:hAnsi="Arial Unicode MS" w:cs="Arial Unicode MS"/>
          <w:sz w:val="20"/>
          <w:szCs w:val="20"/>
        </w:rPr>
        <w:t>Leaf Area Index → Supports Ag Info EAVs #1, 2</w:t>
      </w:r>
    </w:p>
    <w:p w14:paraId="16F045A3" w14:textId="77777777" w:rsidR="00015284" w:rsidRDefault="00951C14">
      <w:pPr>
        <w:numPr>
          <w:ilvl w:val="0"/>
          <w:numId w:val="9"/>
        </w:numPr>
        <w:rPr>
          <w:rFonts w:ascii="Open Sans" w:eastAsia="Open Sans" w:hAnsi="Open Sans" w:cs="Open Sans"/>
          <w:sz w:val="20"/>
          <w:szCs w:val="20"/>
        </w:rPr>
      </w:pPr>
      <w:r>
        <w:rPr>
          <w:rFonts w:ascii="Open Sans" w:eastAsia="Open Sans" w:hAnsi="Open Sans" w:cs="Open Sans"/>
          <w:b/>
          <w:sz w:val="20"/>
          <w:szCs w:val="20"/>
        </w:rPr>
        <w:t>Summary</w:t>
      </w:r>
      <w:r>
        <w:rPr>
          <w:rFonts w:ascii="Arial Unicode MS" w:eastAsia="Arial Unicode MS" w:hAnsi="Arial Unicode MS" w:cs="Arial Unicode MS"/>
          <w:sz w:val="20"/>
          <w:szCs w:val="20"/>
        </w:rPr>
        <w:t xml:space="preserve">: After going through the requirements setting, </w:t>
      </w:r>
      <w:proofErr w:type="spellStart"/>
      <w:r>
        <w:rPr>
          <w:rFonts w:ascii="Arial Unicode MS" w:eastAsia="Arial Unicode MS" w:hAnsi="Arial Unicode MS" w:cs="Arial Unicode MS"/>
          <w:sz w:val="20"/>
          <w:szCs w:val="20"/>
        </w:rPr>
        <w:t>stocktake</w:t>
      </w:r>
      <w:proofErr w:type="spellEnd"/>
      <w:r>
        <w:rPr>
          <w:rFonts w:ascii="Arial Unicode MS" w:eastAsia="Arial Unicode MS" w:hAnsi="Arial Unicode MS" w:cs="Arial Unicode MS"/>
          <w:sz w:val="20"/>
          <w:szCs w:val="20"/>
        </w:rPr>
        <w:t xml:space="preserve">, and gap analysis, the limitations were summarized this way → </w:t>
      </w:r>
    </w:p>
    <w:p w14:paraId="1AAC2D6C" w14:textId="77777777" w:rsidR="00015284" w:rsidRDefault="00951C14">
      <w:pPr>
        <w:rPr>
          <w:rFonts w:ascii="Open Sans" w:eastAsia="Open Sans" w:hAnsi="Open Sans" w:cs="Open Sans"/>
          <w:sz w:val="20"/>
          <w:szCs w:val="20"/>
        </w:rPr>
      </w:pPr>
      <w:r>
        <w:rPr>
          <w:rFonts w:ascii="Open Sans" w:eastAsia="Open Sans" w:hAnsi="Open Sans" w:cs="Open Sans"/>
          <w:noProof/>
          <w:sz w:val="20"/>
          <w:szCs w:val="20"/>
        </w:rPr>
        <w:lastRenderedPageBreak/>
        <w:drawing>
          <wp:inline distT="114300" distB="114300" distL="114300" distR="114300" wp14:anchorId="5C75C12A" wp14:editId="2C805E92">
            <wp:extent cx="5943600" cy="3276600"/>
            <wp:effectExtent l="0" t="0" r="0" b="0"/>
            <wp:docPr id="11200542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943600" cy="3276600"/>
                    </a:xfrm>
                    <a:prstGeom prst="rect">
                      <a:avLst/>
                    </a:prstGeom>
                    <a:ln/>
                  </pic:spPr>
                </pic:pic>
              </a:graphicData>
            </a:graphic>
          </wp:inline>
        </w:drawing>
      </w:r>
    </w:p>
    <w:p w14:paraId="5A574C58" w14:textId="77777777" w:rsidR="00015284" w:rsidRDefault="00951C14">
      <w:pPr>
        <w:numPr>
          <w:ilvl w:val="0"/>
          <w:numId w:val="9"/>
        </w:numPr>
        <w:rPr>
          <w:rFonts w:ascii="Open Sans" w:eastAsia="Open Sans" w:hAnsi="Open Sans" w:cs="Open Sans"/>
          <w:sz w:val="20"/>
          <w:szCs w:val="20"/>
        </w:rPr>
      </w:pPr>
      <w:r>
        <w:rPr>
          <w:rFonts w:ascii="Open Sans" w:eastAsia="Open Sans" w:hAnsi="Open Sans" w:cs="Open Sans"/>
          <w:sz w:val="20"/>
          <w:szCs w:val="20"/>
        </w:rPr>
        <w:t>Example Take-away Lessons:</w:t>
      </w:r>
    </w:p>
    <w:p w14:paraId="6218AA14" w14:textId="77777777" w:rsidR="00015284" w:rsidRDefault="00951C14">
      <w:pPr>
        <w:numPr>
          <w:ilvl w:val="1"/>
          <w:numId w:val="9"/>
        </w:numPr>
        <w:rPr>
          <w:rFonts w:ascii="Open Sans" w:eastAsia="Open Sans" w:hAnsi="Open Sans" w:cs="Open Sans"/>
          <w:sz w:val="20"/>
          <w:szCs w:val="20"/>
        </w:rPr>
      </w:pPr>
      <w:r>
        <w:rPr>
          <w:rFonts w:ascii="Open Sans" w:eastAsia="Open Sans" w:hAnsi="Open Sans" w:cs="Open Sans"/>
          <w:sz w:val="20"/>
          <w:szCs w:val="20"/>
        </w:rPr>
        <w:t xml:space="preserve">Hierarchies are helpful and should be extended across variables and attributes. </w:t>
      </w:r>
    </w:p>
    <w:p w14:paraId="6741A07F" w14:textId="77777777" w:rsidR="00015284" w:rsidRDefault="00951C14">
      <w:pPr>
        <w:numPr>
          <w:ilvl w:val="1"/>
          <w:numId w:val="9"/>
        </w:numPr>
        <w:rPr>
          <w:rFonts w:ascii="Open Sans" w:eastAsia="Open Sans" w:hAnsi="Open Sans" w:cs="Open Sans"/>
          <w:sz w:val="20"/>
          <w:szCs w:val="20"/>
        </w:rPr>
      </w:pPr>
      <w:r>
        <w:rPr>
          <w:rFonts w:ascii="Open Sans" w:eastAsia="Open Sans" w:hAnsi="Open Sans" w:cs="Open Sans"/>
          <w:sz w:val="20"/>
          <w:szCs w:val="20"/>
        </w:rPr>
        <w:t xml:space="preserve">Certain “Input EAVs” (e.g. Foliar N Content, Forage Quality Carbon Traits) could </w:t>
      </w:r>
      <w:proofErr w:type="gramStart"/>
      <w:r>
        <w:rPr>
          <w:rFonts w:ascii="Open Sans" w:eastAsia="Open Sans" w:hAnsi="Open Sans" w:cs="Open Sans"/>
          <w:sz w:val="20"/>
          <w:szCs w:val="20"/>
        </w:rPr>
        <w:t>actually be</w:t>
      </w:r>
      <w:proofErr w:type="gramEnd"/>
      <w:r>
        <w:rPr>
          <w:rFonts w:ascii="Open Sans" w:eastAsia="Open Sans" w:hAnsi="Open Sans" w:cs="Open Sans"/>
          <w:sz w:val="20"/>
          <w:szCs w:val="20"/>
        </w:rPr>
        <w:t xml:space="preserve"> attributes of a single variable (e.g. Foliar Traits)</w:t>
      </w:r>
    </w:p>
    <w:p w14:paraId="5BB7232B" w14:textId="77777777" w:rsidR="00015284" w:rsidRDefault="00951C14">
      <w:pPr>
        <w:numPr>
          <w:ilvl w:val="1"/>
          <w:numId w:val="9"/>
        </w:numPr>
        <w:rPr>
          <w:rFonts w:ascii="Open Sans" w:eastAsia="Open Sans" w:hAnsi="Open Sans" w:cs="Open Sans"/>
          <w:sz w:val="20"/>
          <w:szCs w:val="20"/>
        </w:rPr>
      </w:pPr>
      <w:r>
        <w:rPr>
          <w:rFonts w:ascii="Open Sans" w:eastAsia="Open Sans" w:hAnsi="Open Sans" w:cs="Open Sans"/>
          <w:sz w:val="20"/>
          <w:szCs w:val="20"/>
        </w:rPr>
        <w:t>Should “Dynamic Crop Calendar” be considered an “Ag Info EAV”? In other uses, it would be.</w:t>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r>
        <w:rPr>
          <w:rFonts w:ascii="Open Sans" w:eastAsia="Open Sans" w:hAnsi="Open Sans" w:cs="Open Sans"/>
          <w:sz w:val="20"/>
          <w:szCs w:val="20"/>
        </w:rPr>
        <w:tab/>
      </w:r>
    </w:p>
    <w:p w14:paraId="1BCD0C34" w14:textId="77777777" w:rsidR="00015284" w:rsidRDefault="00015284">
      <w:pPr>
        <w:pStyle w:val="Heading4"/>
      </w:pPr>
      <w:bookmarkStart w:id="11" w:name="_ioiwq2jaawys" w:colFirst="0" w:colLast="0"/>
      <w:bookmarkEnd w:id="11"/>
    </w:p>
    <w:p w14:paraId="2459E9BB" w14:textId="77777777" w:rsidR="00015284" w:rsidRDefault="00951C14">
      <w:pPr>
        <w:pStyle w:val="Heading4"/>
      </w:pPr>
      <w:bookmarkStart w:id="12" w:name="_xx3f9obimg72" w:colFirst="0" w:colLast="0"/>
      <w:bookmarkEnd w:id="12"/>
      <w:r>
        <w:t>See Table for Further Variables</w:t>
      </w:r>
    </w:p>
    <w:p w14:paraId="28685F4F" w14:textId="77777777" w:rsidR="00015284" w:rsidRDefault="00951C14">
      <w:pPr>
        <w:spacing w:before="200"/>
        <w:ind w:left="720"/>
        <w:rPr>
          <w:rFonts w:ascii="Open Sans" w:eastAsia="Open Sans" w:hAnsi="Open Sans" w:cs="Open Sans"/>
          <w:sz w:val="20"/>
          <w:szCs w:val="20"/>
        </w:rPr>
      </w:pPr>
      <w:r>
        <w:rPr>
          <w:rFonts w:ascii="Open Sans" w:eastAsia="Open Sans" w:hAnsi="Open Sans" w:cs="Open Sans"/>
          <w:sz w:val="20"/>
          <w:szCs w:val="20"/>
        </w:rPr>
        <w:t xml:space="preserve">Link to Table: </w:t>
      </w:r>
      <w:hyperlink r:id="rId12">
        <w:r>
          <w:rPr>
            <w:rFonts w:ascii="Open Sans" w:eastAsia="Open Sans" w:hAnsi="Open Sans" w:cs="Open Sans"/>
            <w:color w:val="1155CC"/>
            <w:sz w:val="20"/>
            <w:szCs w:val="20"/>
            <w:u w:val="single"/>
          </w:rPr>
          <w:t>https://docs.google.com/spreadsheets/d/1IwQbvS30-upT2N8qklVoQPxUmkOjHsmqsd1fK4WfBn8/edit?usp=sharing</w:t>
        </w:r>
      </w:hyperlink>
      <w:r>
        <w:rPr>
          <w:rFonts w:ascii="Open Sans" w:eastAsia="Open Sans" w:hAnsi="Open Sans" w:cs="Open Sans"/>
          <w:sz w:val="20"/>
          <w:szCs w:val="20"/>
        </w:rPr>
        <w:t xml:space="preserve"> </w:t>
      </w:r>
    </w:p>
    <w:p w14:paraId="471D3244" w14:textId="77777777" w:rsidR="00015284" w:rsidRDefault="00015284">
      <w:pPr>
        <w:rPr>
          <w:rFonts w:ascii="Open Sans" w:eastAsia="Open Sans" w:hAnsi="Open Sans" w:cs="Open Sans"/>
          <w:b/>
        </w:rPr>
      </w:pPr>
    </w:p>
    <w:p w14:paraId="461E2901" w14:textId="77777777" w:rsidR="00015284" w:rsidRDefault="00951C14">
      <w:pPr>
        <w:pStyle w:val="Heading3"/>
        <w:rPr>
          <w:b/>
          <w:sz w:val="20"/>
          <w:szCs w:val="20"/>
        </w:rPr>
      </w:pPr>
      <w:bookmarkStart w:id="13" w:name="_qw5dh9evd445" w:colFirst="0" w:colLast="0"/>
      <w:bookmarkEnd w:id="13"/>
      <w:r>
        <w:rPr>
          <w:u w:val="single"/>
        </w:rPr>
        <w:t>EAV List &amp; Stewards</w:t>
      </w:r>
    </w:p>
    <w:p w14:paraId="0E17DE16" w14:textId="77777777" w:rsidR="00015284" w:rsidRDefault="00951C14">
      <w:pPr>
        <w:numPr>
          <w:ilvl w:val="0"/>
          <w:numId w:val="12"/>
        </w:numPr>
        <w:rPr>
          <w:rFonts w:ascii="Open Sans" w:eastAsia="Open Sans" w:hAnsi="Open Sans" w:cs="Open Sans"/>
          <w:sz w:val="20"/>
          <w:szCs w:val="20"/>
        </w:rPr>
      </w:pPr>
      <w:r>
        <w:rPr>
          <w:rFonts w:ascii="Open Sans" w:eastAsia="Open Sans" w:hAnsi="Open Sans" w:cs="Open Sans"/>
          <w:b/>
          <w:sz w:val="20"/>
          <w:szCs w:val="20"/>
        </w:rPr>
        <w:t>Progress</w:t>
      </w:r>
      <w:r>
        <w:rPr>
          <w:rFonts w:ascii="Open Sans" w:eastAsia="Open Sans" w:hAnsi="Open Sans" w:cs="Open Sans"/>
          <w:sz w:val="20"/>
          <w:szCs w:val="20"/>
        </w:rPr>
        <w:t xml:space="preserve">: Complete List of EAVs and Associated Stewards - </w:t>
      </w:r>
      <w:r>
        <w:rPr>
          <w:rFonts w:ascii="Open Sans" w:eastAsia="Open Sans" w:hAnsi="Open Sans" w:cs="Open Sans"/>
          <w:i/>
          <w:sz w:val="20"/>
          <w:szCs w:val="20"/>
        </w:rPr>
        <w:t>work is still needed</w:t>
      </w:r>
    </w:p>
    <w:p w14:paraId="44AFB9D9" w14:textId="77777777" w:rsidR="00015284" w:rsidRDefault="00951C14">
      <w:pPr>
        <w:numPr>
          <w:ilvl w:val="1"/>
          <w:numId w:val="12"/>
        </w:numPr>
        <w:rPr>
          <w:rFonts w:ascii="Open Sans" w:eastAsia="Open Sans" w:hAnsi="Open Sans" w:cs="Open Sans"/>
          <w:sz w:val="20"/>
          <w:szCs w:val="20"/>
        </w:rPr>
      </w:pPr>
      <w:r>
        <w:rPr>
          <w:rFonts w:ascii="Open Sans" w:eastAsia="Open Sans" w:hAnsi="Open Sans" w:cs="Open Sans"/>
          <w:sz w:val="20"/>
          <w:szCs w:val="20"/>
        </w:rPr>
        <w:t xml:space="preserve">We are working to ensure that the EAVs are complete but not duplicative, and that variables that can be collated are (e.g. Evapotranspiration can include </w:t>
      </w:r>
      <w:proofErr w:type="spellStart"/>
      <w:r>
        <w:rPr>
          <w:rFonts w:ascii="Open Sans" w:eastAsia="Open Sans" w:hAnsi="Open Sans" w:cs="Open Sans"/>
          <w:sz w:val="20"/>
          <w:szCs w:val="20"/>
        </w:rPr>
        <w:t>aET</w:t>
      </w:r>
      <w:proofErr w:type="spellEnd"/>
      <w:r>
        <w:rPr>
          <w:rFonts w:ascii="Open Sans" w:eastAsia="Open Sans" w:hAnsi="Open Sans" w:cs="Open Sans"/>
          <w:sz w:val="20"/>
          <w:szCs w:val="20"/>
        </w:rPr>
        <w:t xml:space="preserve">, </w:t>
      </w:r>
      <w:proofErr w:type="spellStart"/>
      <w:r>
        <w:rPr>
          <w:rFonts w:ascii="Open Sans" w:eastAsia="Open Sans" w:hAnsi="Open Sans" w:cs="Open Sans"/>
          <w:sz w:val="20"/>
          <w:szCs w:val="20"/>
        </w:rPr>
        <w:t>rET</w:t>
      </w:r>
      <w:proofErr w:type="spellEnd"/>
      <w:r>
        <w:rPr>
          <w:rFonts w:ascii="Open Sans" w:eastAsia="Open Sans" w:hAnsi="Open Sans" w:cs="Open Sans"/>
          <w:sz w:val="20"/>
          <w:szCs w:val="20"/>
        </w:rPr>
        <w:t xml:space="preserve">, and </w:t>
      </w:r>
      <w:proofErr w:type="spellStart"/>
      <w:r>
        <w:rPr>
          <w:rFonts w:ascii="Open Sans" w:eastAsia="Open Sans" w:hAnsi="Open Sans" w:cs="Open Sans"/>
          <w:sz w:val="20"/>
          <w:szCs w:val="20"/>
        </w:rPr>
        <w:t>pET</w:t>
      </w:r>
      <w:proofErr w:type="spellEnd"/>
      <w:r>
        <w:rPr>
          <w:rFonts w:ascii="Open Sans" w:eastAsia="Open Sans" w:hAnsi="Open Sans" w:cs="Open Sans"/>
          <w:sz w:val="20"/>
          <w:szCs w:val="20"/>
        </w:rPr>
        <w:t xml:space="preserve">), and that variables that can be simply derived from another variable or two are not independently listed, even if the derived products are of high value to have readily available. </w:t>
      </w:r>
    </w:p>
    <w:p w14:paraId="24799B17" w14:textId="77777777" w:rsidR="00015284" w:rsidRDefault="00951C14">
      <w:pPr>
        <w:numPr>
          <w:ilvl w:val="2"/>
          <w:numId w:val="12"/>
        </w:numPr>
        <w:rPr>
          <w:rFonts w:ascii="Open Sans" w:eastAsia="Open Sans" w:hAnsi="Open Sans" w:cs="Open Sans"/>
          <w:sz w:val="20"/>
          <w:szCs w:val="20"/>
        </w:rPr>
      </w:pPr>
      <w:r>
        <w:rPr>
          <w:rFonts w:ascii="Open Sans" w:eastAsia="Open Sans" w:hAnsi="Open Sans" w:cs="Open Sans"/>
          <w:sz w:val="20"/>
          <w:szCs w:val="20"/>
        </w:rPr>
        <w:t xml:space="preserve">The link to this dynamic table can be found here: </w:t>
      </w:r>
      <w:hyperlink r:id="rId13">
        <w:r>
          <w:rPr>
            <w:rFonts w:ascii="Open Sans" w:eastAsia="Open Sans" w:hAnsi="Open Sans" w:cs="Open Sans"/>
            <w:color w:val="1155CC"/>
            <w:sz w:val="20"/>
            <w:szCs w:val="20"/>
            <w:u w:val="single"/>
          </w:rPr>
          <w:t>https://docs.google.com/spreadsheets/d/1IwQbvS30-upT2N8qklVoQPxUmkOjHsmqsd1fK4WfBn8/edit?usp=sharing</w:t>
        </w:r>
      </w:hyperlink>
      <w:r>
        <w:rPr>
          <w:rFonts w:ascii="Open Sans" w:eastAsia="Open Sans" w:hAnsi="Open Sans" w:cs="Open Sans"/>
          <w:sz w:val="20"/>
          <w:szCs w:val="20"/>
        </w:rPr>
        <w:t xml:space="preserve"> </w:t>
      </w:r>
    </w:p>
    <w:p w14:paraId="683F925A" w14:textId="77777777" w:rsidR="00015284" w:rsidRDefault="00951C14">
      <w:pPr>
        <w:numPr>
          <w:ilvl w:val="1"/>
          <w:numId w:val="12"/>
        </w:numPr>
        <w:rPr>
          <w:rFonts w:ascii="Open Sans" w:eastAsia="Open Sans" w:hAnsi="Open Sans" w:cs="Open Sans"/>
          <w:sz w:val="20"/>
          <w:szCs w:val="20"/>
        </w:rPr>
      </w:pPr>
      <w:r>
        <w:rPr>
          <w:rFonts w:ascii="Open Sans" w:eastAsia="Open Sans" w:hAnsi="Open Sans" w:cs="Open Sans"/>
          <w:sz w:val="20"/>
          <w:szCs w:val="20"/>
        </w:rPr>
        <w:t>We also need to identify stewards for the next Phase of EAVs.</w:t>
      </w:r>
    </w:p>
    <w:p w14:paraId="69DE6E18" w14:textId="77777777" w:rsidR="00015284" w:rsidRDefault="00015284">
      <w:pPr>
        <w:ind w:left="1440"/>
        <w:rPr>
          <w:rFonts w:ascii="Open Sans" w:eastAsia="Open Sans" w:hAnsi="Open Sans" w:cs="Open Sans"/>
          <w:sz w:val="20"/>
          <w:szCs w:val="20"/>
        </w:rPr>
      </w:pPr>
    </w:p>
    <w:p w14:paraId="15328209" w14:textId="77777777" w:rsidR="00015284" w:rsidRDefault="00951C14">
      <w:pPr>
        <w:pStyle w:val="Heading2"/>
      </w:pPr>
      <w:bookmarkStart w:id="14" w:name="_svax89j2jifz" w:colFirst="0" w:colLast="0"/>
      <w:bookmarkEnd w:id="14"/>
      <w:r>
        <w:t xml:space="preserve">Objective 3: Identify Synergies with and Opportunities for Engagement with CEOS and Adjacent Communities and their Essential Variables [PROGRESS + </w:t>
      </w:r>
      <w:r>
        <w:rPr>
          <w:shd w:val="clear" w:color="auto" w:fill="D9EAD3"/>
        </w:rPr>
        <w:t>ACTION REQUEST</w:t>
      </w:r>
      <w:r>
        <w:t>]</w:t>
      </w:r>
    </w:p>
    <w:p w14:paraId="4DB35BA6" w14:textId="77777777" w:rsidR="00015284" w:rsidRDefault="00951C14">
      <w:pPr>
        <w:numPr>
          <w:ilvl w:val="0"/>
          <w:numId w:val="6"/>
        </w:numPr>
        <w:spacing w:before="200"/>
      </w:pPr>
      <w:r>
        <w:rPr>
          <w:rFonts w:ascii="Open Sans" w:eastAsia="Open Sans" w:hAnsi="Open Sans" w:cs="Open Sans"/>
          <w:b/>
          <w:sz w:val="20"/>
          <w:szCs w:val="20"/>
        </w:rPr>
        <w:t>Progress</w:t>
      </w:r>
      <w:r>
        <w:rPr>
          <w:rFonts w:ascii="Open Sans" w:eastAsia="Open Sans" w:hAnsi="Open Sans" w:cs="Open Sans"/>
          <w:sz w:val="20"/>
          <w:szCs w:val="20"/>
        </w:rPr>
        <w:t xml:space="preserve">: Thanks to the participation of several agencies in the workshop, we have “opened the door” to cross-community collaboration. </w:t>
      </w:r>
    </w:p>
    <w:p w14:paraId="74CFDAF9" w14:textId="77777777" w:rsidR="00015284" w:rsidRDefault="00951C14">
      <w:pPr>
        <w:numPr>
          <w:ilvl w:val="1"/>
          <w:numId w:val="6"/>
        </w:numPr>
        <w:rPr>
          <w:rFonts w:ascii="Open Sans" w:eastAsia="Open Sans" w:hAnsi="Open Sans" w:cs="Open Sans"/>
          <w:sz w:val="20"/>
          <w:szCs w:val="20"/>
        </w:rPr>
      </w:pPr>
      <w:commentRangeStart w:id="15"/>
      <w:r>
        <w:rPr>
          <w:rFonts w:ascii="Open Sans" w:eastAsia="Open Sans" w:hAnsi="Open Sans" w:cs="Open Sans"/>
          <w:sz w:val="20"/>
          <w:szCs w:val="20"/>
        </w:rPr>
        <w:t>Still, participation in the 5 initial EAVs as well as in future EAVs.</w:t>
      </w:r>
      <w:commentRangeEnd w:id="15"/>
      <w:r w:rsidR="00EF394E">
        <w:rPr>
          <w:rStyle w:val="CommentReference"/>
        </w:rPr>
        <w:commentReference w:id="15"/>
      </w:r>
    </w:p>
    <w:p w14:paraId="65108355" w14:textId="77777777" w:rsidR="00015284" w:rsidRDefault="00951C14">
      <w:pPr>
        <w:numPr>
          <w:ilvl w:val="0"/>
          <w:numId w:val="6"/>
        </w:numPr>
      </w:pPr>
      <w:r>
        <w:rPr>
          <w:rFonts w:ascii="Open Sans" w:eastAsia="Open Sans" w:hAnsi="Open Sans" w:cs="Open Sans"/>
          <w:b/>
          <w:sz w:val="20"/>
          <w:szCs w:val="20"/>
          <w:shd w:val="clear" w:color="auto" w:fill="D9EAD3"/>
        </w:rPr>
        <w:t>Action Request</w:t>
      </w:r>
      <w:r>
        <w:rPr>
          <w:rFonts w:ascii="Open Sans" w:eastAsia="Open Sans" w:hAnsi="Open Sans" w:cs="Open Sans"/>
          <w:sz w:val="20"/>
          <w:szCs w:val="20"/>
          <w:shd w:val="clear" w:color="auto" w:fill="D9EAD3"/>
        </w:rPr>
        <w:t xml:space="preserve">: </w:t>
      </w:r>
      <w:r>
        <w:rPr>
          <w:rFonts w:ascii="Open Sans" w:eastAsia="Open Sans" w:hAnsi="Open Sans" w:cs="Open Sans"/>
          <w:sz w:val="20"/>
          <w:szCs w:val="20"/>
        </w:rPr>
        <w:t>CEOS agency support, as well as coordination across land areas within CEOS LSI-VC (land Essential Climate Variables, Essential Biodiversity Variables, Essential Water Variables) and with CEOS WG Climate (atmospheric ECVs), is necessary and highly valuable to this activity.</w:t>
      </w:r>
    </w:p>
    <w:p w14:paraId="458B3DE7" w14:textId="77777777" w:rsidR="00015284" w:rsidRDefault="00951C14">
      <w:pPr>
        <w:numPr>
          <w:ilvl w:val="1"/>
          <w:numId w:val="6"/>
        </w:numPr>
      </w:pPr>
      <w:r>
        <w:rPr>
          <w:rFonts w:ascii="Open Sans" w:eastAsia="Open Sans" w:hAnsi="Open Sans" w:cs="Open Sans"/>
          <w:b/>
          <w:sz w:val="20"/>
          <w:szCs w:val="20"/>
        </w:rPr>
        <w:t xml:space="preserve">Rationale for Agency Support: </w:t>
      </w:r>
      <w:r>
        <w:rPr>
          <w:rFonts w:ascii="Open Sans" w:eastAsia="Open Sans" w:hAnsi="Open Sans" w:cs="Open Sans"/>
          <w:sz w:val="20"/>
          <w:szCs w:val="20"/>
        </w:rPr>
        <w:t xml:space="preserve">We know we are not fully accounting for efforts already undertaken by the agencies related to observations and EAV development. </w:t>
      </w:r>
      <w:commentRangeStart w:id="16"/>
      <w:r>
        <w:rPr>
          <w:rFonts w:ascii="Open Sans" w:eastAsia="Open Sans" w:hAnsi="Open Sans" w:cs="Open Sans"/>
          <w:sz w:val="20"/>
          <w:szCs w:val="20"/>
        </w:rPr>
        <w:t xml:space="preserve">This </w:t>
      </w:r>
      <w:commentRangeEnd w:id="16"/>
      <w:r>
        <w:rPr>
          <w:rStyle w:val="CommentReference"/>
        </w:rPr>
        <w:commentReference w:id="16"/>
      </w:r>
    </w:p>
    <w:p w14:paraId="09D2A196" w14:textId="77777777" w:rsidR="00015284" w:rsidRDefault="00951C14">
      <w:pPr>
        <w:numPr>
          <w:ilvl w:val="1"/>
          <w:numId w:val="6"/>
        </w:numPr>
      </w:pPr>
      <w:r>
        <w:rPr>
          <w:rFonts w:ascii="Open Sans" w:eastAsia="Open Sans" w:hAnsi="Open Sans" w:cs="Open Sans"/>
          <w:sz w:val="20"/>
          <w:szCs w:val="20"/>
        </w:rPr>
        <w:t xml:space="preserve"> </w:t>
      </w:r>
      <w:r>
        <w:rPr>
          <w:rFonts w:ascii="Open Sans" w:eastAsia="Open Sans" w:hAnsi="Open Sans" w:cs="Open Sans"/>
          <w:b/>
          <w:sz w:val="20"/>
          <w:szCs w:val="20"/>
        </w:rPr>
        <w:t>Rationale for CEOS Coordination</w:t>
      </w:r>
      <w:r>
        <w:rPr>
          <w:rFonts w:ascii="Open Sans" w:eastAsia="Open Sans" w:hAnsi="Open Sans" w:cs="Open Sans"/>
          <w:sz w:val="20"/>
          <w:szCs w:val="20"/>
        </w:rPr>
        <w:t>: Identifying common variables across the different communities and reconciling (where possible) minor differences in variable specifications/requirements will maximize the efficiency of agency contributions and create clearer requests for high-priority observations, data services, and Essential Variable production.</w:t>
      </w:r>
    </w:p>
    <w:p w14:paraId="708DA2B9" w14:textId="0743BECE" w:rsidR="00015284" w:rsidRDefault="00951C14">
      <w:pPr>
        <w:pStyle w:val="Heading1"/>
      </w:pPr>
      <w:bookmarkStart w:id="17" w:name="_v7ca7u2rc9le" w:colFirst="0" w:colLast="0"/>
      <w:bookmarkEnd w:id="17"/>
      <w:r>
        <w:lastRenderedPageBreak/>
        <w:t>Next Steps</w:t>
      </w:r>
      <w:r w:rsidR="00EF394E">
        <w:t xml:space="preserve"> with CEOS</w:t>
      </w:r>
    </w:p>
    <w:p w14:paraId="04A88BFF" w14:textId="77777777" w:rsidR="00015284" w:rsidRDefault="00951C14">
      <w:pPr>
        <w:pStyle w:val="Heading2"/>
        <w:spacing w:before="200"/>
      </w:pPr>
      <w:bookmarkStart w:id="18" w:name="_f6s6j2l6fpry" w:colFirst="0" w:colLast="0"/>
      <w:bookmarkEnd w:id="18"/>
      <w:r>
        <w:t xml:space="preserve">Objective 4: Set Milestones and Timelines [COMPLETE / UPDATEABLE] </w:t>
      </w:r>
    </w:p>
    <w:p w14:paraId="510F619E" w14:textId="77777777" w:rsidR="00015284" w:rsidRDefault="00951C14">
      <w:pPr>
        <w:rPr>
          <w:rFonts w:ascii="Open Sans" w:eastAsia="Open Sans" w:hAnsi="Open Sans" w:cs="Open Sans"/>
        </w:rPr>
      </w:pPr>
      <w:r>
        <w:rPr>
          <w:rFonts w:ascii="Open Sans" w:eastAsia="Open Sans" w:hAnsi="Open Sans" w:cs="Open Sans"/>
          <w:noProof/>
        </w:rPr>
        <w:drawing>
          <wp:inline distT="114300" distB="114300" distL="114300" distR="114300" wp14:anchorId="53B8D99C" wp14:editId="758115F4">
            <wp:extent cx="5943600" cy="3340100"/>
            <wp:effectExtent l="12700" t="12700" r="12700" b="12700"/>
            <wp:docPr id="7541264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943600" cy="3340100"/>
                    </a:xfrm>
                    <a:prstGeom prst="rect">
                      <a:avLst/>
                    </a:prstGeom>
                    <a:ln w="12700">
                      <a:solidFill>
                        <a:srgbClr val="D9D9D9"/>
                      </a:solidFill>
                      <a:prstDash val="solid"/>
                    </a:ln>
                  </pic:spPr>
                </pic:pic>
              </a:graphicData>
            </a:graphic>
          </wp:inline>
        </w:drawing>
      </w:r>
    </w:p>
    <w:p w14:paraId="5620DC23" w14:textId="77777777" w:rsidR="00015284" w:rsidRDefault="00951C14">
      <w:pPr>
        <w:spacing w:before="200"/>
        <w:ind w:firstLine="720"/>
        <w:rPr>
          <w:rFonts w:ascii="Open Sans" w:eastAsia="Open Sans" w:hAnsi="Open Sans" w:cs="Open Sans"/>
        </w:rPr>
      </w:pPr>
      <w:r>
        <w:rPr>
          <w:rFonts w:ascii="Open Sans" w:eastAsia="Open Sans" w:hAnsi="Open Sans" w:cs="Open Sans"/>
        </w:rPr>
        <w:t xml:space="preserve">The above diagram was presented at SIT-TW-40 in September 2025. Focusing only the GEOGLAM </w:t>
      </w:r>
      <w:proofErr w:type="spellStart"/>
      <w:r>
        <w:rPr>
          <w:rFonts w:ascii="Open Sans" w:eastAsia="Open Sans" w:hAnsi="Open Sans" w:cs="Open Sans"/>
        </w:rPr>
        <w:t>Stocktake</w:t>
      </w:r>
      <w:proofErr w:type="spellEnd"/>
      <w:r>
        <w:rPr>
          <w:rFonts w:ascii="Open Sans" w:eastAsia="Open Sans" w:hAnsi="Open Sans" w:cs="Open Sans"/>
        </w:rPr>
        <w:t xml:space="preserve"> &amp; Gap Analysis-related actions, at Plenary-39, it is hoped that:</w:t>
      </w:r>
    </w:p>
    <w:p w14:paraId="45AA2094" w14:textId="77777777" w:rsidR="00015284" w:rsidRDefault="00951C14">
      <w:pPr>
        <w:numPr>
          <w:ilvl w:val="0"/>
          <w:numId w:val="8"/>
        </w:numPr>
        <w:spacing w:before="200"/>
        <w:rPr>
          <w:rFonts w:ascii="Open Sans" w:eastAsia="Open Sans" w:hAnsi="Open Sans" w:cs="Open Sans"/>
        </w:rPr>
      </w:pPr>
      <w:r>
        <w:rPr>
          <w:rFonts w:ascii="Open Sans" w:eastAsia="Open Sans" w:hAnsi="Open Sans" w:cs="Open Sans"/>
        </w:rPr>
        <w:t xml:space="preserve">Agencies who have not yet done so will appoint </w:t>
      </w:r>
      <w:proofErr w:type="spellStart"/>
      <w:r>
        <w:rPr>
          <w:rFonts w:ascii="Open Sans" w:eastAsia="Open Sans" w:hAnsi="Open Sans" w:cs="Open Sans"/>
        </w:rPr>
        <w:t>PoCs</w:t>
      </w:r>
      <w:proofErr w:type="spellEnd"/>
      <w:r>
        <w:rPr>
          <w:rFonts w:ascii="Open Sans" w:eastAsia="Open Sans" w:hAnsi="Open Sans" w:cs="Open Sans"/>
        </w:rPr>
        <w:t xml:space="preserve"> to the LSI-VC GEOGLAM Subgroup and/or the </w:t>
      </w:r>
      <w:proofErr w:type="spellStart"/>
      <w:r>
        <w:rPr>
          <w:rFonts w:ascii="Open Sans" w:eastAsia="Open Sans" w:hAnsi="Open Sans" w:cs="Open Sans"/>
        </w:rPr>
        <w:t>stocktake</w:t>
      </w:r>
      <w:proofErr w:type="spellEnd"/>
      <w:r>
        <w:rPr>
          <w:rFonts w:ascii="Open Sans" w:eastAsia="Open Sans" w:hAnsi="Open Sans" w:cs="Open Sans"/>
        </w:rPr>
        <w:t xml:space="preserve"> + gap analysis work </w:t>
      </w:r>
    </w:p>
    <w:p w14:paraId="2AB09CE4" w14:textId="77777777" w:rsidR="00015284" w:rsidRDefault="00951C14">
      <w:pPr>
        <w:numPr>
          <w:ilvl w:val="0"/>
          <w:numId w:val="8"/>
        </w:numPr>
        <w:rPr>
          <w:rFonts w:ascii="Open Sans" w:eastAsia="Open Sans" w:hAnsi="Open Sans" w:cs="Open Sans"/>
        </w:rPr>
      </w:pPr>
      <w:r>
        <w:rPr>
          <w:rFonts w:ascii="Open Sans" w:eastAsia="Open Sans" w:hAnsi="Open Sans" w:cs="Open Sans"/>
        </w:rPr>
        <w:t xml:space="preserve">Agencies will take the action to support the </w:t>
      </w:r>
      <w:proofErr w:type="spellStart"/>
      <w:r>
        <w:rPr>
          <w:rFonts w:ascii="Open Sans" w:eastAsia="Open Sans" w:hAnsi="Open Sans" w:cs="Open Sans"/>
        </w:rPr>
        <w:t>stocktake</w:t>
      </w:r>
      <w:proofErr w:type="spellEnd"/>
      <w:r>
        <w:rPr>
          <w:rFonts w:ascii="Open Sans" w:eastAsia="Open Sans" w:hAnsi="Open Sans" w:cs="Open Sans"/>
        </w:rPr>
        <w:t xml:space="preserve"> + gap analysis work for the first 6 variables</w:t>
      </w:r>
    </w:p>
    <w:p w14:paraId="547FA979" w14:textId="77777777" w:rsidR="00015284" w:rsidRDefault="00951C14">
      <w:pPr>
        <w:numPr>
          <w:ilvl w:val="1"/>
          <w:numId w:val="8"/>
        </w:numPr>
        <w:rPr>
          <w:rFonts w:ascii="Open Sans" w:eastAsia="Open Sans" w:hAnsi="Open Sans" w:cs="Open Sans"/>
        </w:rPr>
      </w:pPr>
      <w:r>
        <w:rPr>
          <w:rFonts w:ascii="Open Sans" w:eastAsia="Open Sans" w:hAnsi="Open Sans" w:cs="Open Sans"/>
        </w:rPr>
        <w:t xml:space="preserve">While much of this is done, improvements can be made including adapting/enacting the lessons learned from Phase </w:t>
      </w:r>
      <w:proofErr w:type="gramStart"/>
      <w:r>
        <w:rPr>
          <w:rFonts w:ascii="Open Sans" w:eastAsia="Open Sans" w:hAnsi="Open Sans" w:cs="Open Sans"/>
        </w:rPr>
        <w:t>1, and</w:t>
      </w:r>
      <w:proofErr w:type="gramEnd"/>
      <w:r>
        <w:rPr>
          <w:rFonts w:ascii="Open Sans" w:eastAsia="Open Sans" w:hAnsi="Open Sans" w:cs="Open Sans"/>
        </w:rPr>
        <w:t xml:space="preserve"> ensuring that agency contributions are accounted for in the </w:t>
      </w:r>
      <w:proofErr w:type="spellStart"/>
      <w:r>
        <w:rPr>
          <w:rFonts w:ascii="Open Sans" w:eastAsia="Open Sans" w:hAnsi="Open Sans" w:cs="Open Sans"/>
        </w:rPr>
        <w:t>stocktake</w:t>
      </w:r>
      <w:proofErr w:type="spellEnd"/>
      <w:r>
        <w:rPr>
          <w:rFonts w:ascii="Open Sans" w:eastAsia="Open Sans" w:hAnsi="Open Sans" w:cs="Open Sans"/>
        </w:rPr>
        <w:t xml:space="preserve"> + gap analysis.</w:t>
      </w:r>
    </w:p>
    <w:p w14:paraId="40956E35" w14:textId="77777777" w:rsidR="00015284" w:rsidRDefault="00015284">
      <w:pPr>
        <w:spacing w:before="200"/>
        <w:rPr>
          <w:rFonts w:ascii="Open Sans" w:eastAsia="Open Sans" w:hAnsi="Open Sans" w:cs="Open Sans"/>
        </w:rPr>
      </w:pPr>
    </w:p>
    <w:p w14:paraId="3FB1CCA2" w14:textId="77777777" w:rsidR="00015284" w:rsidRDefault="00951C14">
      <w:pPr>
        <w:spacing w:before="200"/>
        <w:ind w:firstLine="720"/>
        <w:rPr>
          <w:rFonts w:ascii="Open Sans" w:eastAsia="Open Sans" w:hAnsi="Open Sans" w:cs="Open Sans"/>
        </w:rPr>
      </w:pPr>
      <w:r>
        <w:rPr>
          <w:rFonts w:ascii="Open Sans" w:eastAsia="Open Sans" w:hAnsi="Open Sans" w:cs="Open Sans"/>
        </w:rPr>
        <w:t xml:space="preserve">This will be followed in the next 6-10 months by an expansion of the above, more “refined” effort toward completing the GEOGLAM EAV </w:t>
      </w:r>
      <w:proofErr w:type="spellStart"/>
      <w:r>
        <w:rPr>
          <w:rFonts w:ascii="Open Sans" w:eastAsia="Open Sans" w:hAnsi="Open Sans" w:cs="Open Sans"/>
        </w:rPr>
        <w:t>characterisation</w:t>
      </w:r>
      <w:proofErr w:type="spellEnd"/>
      <w:r>
        <w:rPr>
          <w:rFonts w:ascii="Open Sans" w:eastAsia="Open Sans" w:hAnsi="Open Sans" w:cs="Open Sans"/>
        </w:rPr>
        <w:t xml:space="preserve">, </w:t>
      </w:r>
      <w:proofErr w:type="spellStart"/>
      <w:r>
        <w:rPr>
          <w:rFonts w:ascii="Open Sans" w:eastAsia="Open Sans" w:hAnsi="Open Sans" w:cs="Open Sans"/>
        </w:rPr>
        <w:t>stocktake</w:t>
      </w:r>
      <w:proofErr w:type="spellEnd"/>
      <w:r>
        <w:rPr>
          <w:rFonts w:ascii="Open Sans" w:eastAsia="Open Sans" w:hAnsi="Open Sans" w:cs="Open Sans"/>
        </w:rPr>
        <w:t>, and gap analysis, including the cross-community linkages (“Objective 3”). This would then be followed by a workshop in late 2025 or early 2026 to distill the priorities into targeted requests for CEOS and the agencies.</w:t>
      </w:r>
    </w:p>
    <w:p w14:paraId="2304337A" w14:textId="77777777" w:rsidR="00015284" w:rsidRDefault="00015284">
      <w:pPr>
        <w:rPr>
          <w:rFonts w:ascii="Open Sans" w:eastAsia="Open Sans" w:hAnsi="Open Sans" w:cs="Open Sans"/>
        </w:rPr>
      </w:pPr>
    </w:p>
    <w:p w14:paraId="733793E0" w14:textId="77777777" w:rsidR="00015284" w:rsidRDefault="00951C14">
      <w:pPr>
        <w:pStyle w:val="Heading1"/>
      </w:pPr>
      <w:bookmarkStart w:id="19" w:name="_emvt4urpczk0" w:colFirst="0" w:colLast="0"/>
      <w:bookmarkEnd w:id="19"/>
      <w:r>
        <w:lastRenderedPageBreak/>
        <w:t>Report Versioning History</w:t>
      </w:r>
    </w:p>
    <w:p w14:paraId="3631004C" w14:textId="77777777" w:rsidR="00015284" w:rsidRDefault="00015284">
      <w:pPr>
        <w:rPr>
          <w:rFonts w:ascii="Open Sans" w:eastAsia="Open Sans" w:hAnsi="Open Sans" w:cs="Open Sans"/>
        </w:rPr>
      </w:pP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1635"/>
        <w:gridCol w:w="4455"/>
      </w:tblGrid>
      <w:tr w:rsidR="00015284" w14:paraId="002212F1" w14:textId="77777777">
        <w:tc>
          <w:tcPr>
            <w:tcW w:w="3270" w:type="dxa"/>
            <w:tcMar>
              <w:top w:w="100" w:type="dxa"/>
              <w:left w:w="100" w:type="dxa"/>
              <w:bottom w:w="100" w:type="dxa"/>
              <w:right w:w="100" w:type="dxa"/>
            </w:tcMar>
          </w:tcPr>
          <w:p w14:paraId="10E52A45" w14:textId="77777777" w:rsidR="00015284" w:rsidRDefault="00951C14">
            <w:pPr>
              <w:widowControl w:val="0"/>
              <w:pBdr>
                <w:top w:val="nil"/>
                <w:left w:val="nil"/>
                <w:bottom w:val="nil"/>
                <w:right w:val="nil"/>
                <w:between w:val="nil"/>
              </w:pBdr>
              <w:spacing w:line="240" w:lineRule="auto"/>
              <w:rPr>
                <w:rFonts w:ascii="Open Sans" w:eastAsia="Open Sans" w:hAnsi="Open Sans" w:cs="Open Sans"/>
                <w:b/>
                <w:sz w:val="20"/>
                <w:szCs w:val="20"/>
              </w:rPr>
            </w:pPr>
            <w:r>
              <w:rPr>
                <w:rFonts w:ascii="Open Sans" w:eastAsia="Open Sans" w:hAnsi="Open Sans" w:cs="Open Sans"/>
                <w:b/>
                <w:sz w:val="20"/>
                <w:szCs w:val="20"/>
              </w:rPr>
              <w:t>Activity</w:t>
            </w:r>
          </w:p>
        </w:tc>
        <w:tc>
          <w:tcPr>
            <w:tcW w:w="1635" w:type="dxa"/>
            <w:tcMar>
              <w:top w:w="100" w:type="dxa"/>
              <w:left w:w="100" w:type="dxa"/>
              <w:bottom w:w="100" w:type="dxa"/>
              <w:right w:w="100" w:type="dxa"/>
            </w:tcMar>
          </w:tcPr>
          <w:p w14:paraId="4293578F" w14:textId="77777777" w:rsidR="00015284" w:rsidRDefault="00951C14">
            <w:pPr>
              <w:widowControl w:val="0"/>
              <w:pBdr>
                <w:top w:val="nil"/>
                <w:left w:val="nil"/>
                <w:bottom w:val="nil"/>
                <w:right w:val="nil"/>
                <w:between w:val="nil"/>
              </w:pBdr>
              <w:spacing w:line="240" w:lineRule="auto"/>
              <w:rPr>
                <w:rFonts w:ascii="Open Sans" w:eastAsia="Open Sans" w:hAnsi="Open Sans" w:cs="Open Sans"/>
                <w:b/>
                <w:sz w:val="20"/>
                <w:szCs w:val="20"/>
              </w:rPr>
            </w:pPr>
            <w:r>
              <w:rPr>
                <w:rFonts w:ascii="Open Sans" w:eastAsia="Open Sans" w:hAnsi="Open Sans" w:cs="Open Sans"/>
                <w:b/>
                <w:sz w:val="20"/>
                <w:szCs w:val="20"/>
              </w:rPr>
              <w:t>Date</w:t>
            </w:r>
          </w:p>
        </w:tc>
        <w:tc>
          <w:tcPr>
            <w:tcW w:w="4455" w:type="dxa"/>
            <w:tcMar>
              <w:top w:w="100" w:type="dxa"/>
              <w:left w:w="100" w:type="dxa"/>
              <w:bottom w:w="100" w:type="dxa"/>
              <w:right w:w="100" w:type="dxa"/>
            </w:tcMar>
          </w:tcPr>
          <w:p w14:paraId="2992CF29" w14:textId="77777777" w:rsidR="00015284" w:rsidRDefault="00951C14">
            <w:pPr>
              <w:widowControl w:val="0"/>
              <w:pBdr>
                <w:top w:val="nil"/>
                <w:left w:val="nil"/>
                <w:bottom w:val="nil"/>
                <w:right w:val="nil"/>
                <w:between w:val="nil"/>
              </w:pBdr>
              <w:spacing w:line="240" w:lineRule="auto"/>
              <w:rPr>
                <w:rFonts w:ascii="Open Sans" w:eastAsia="Open Sans" w:hAnsi="Open Sans" w:cs="Open Sans"/>
                <w:b/>
                <w:sz w:val="20"/>
                <w:szCs w:val="20"/>
              </w:rPr>
            </w:pPr>
            <w:r>
              <w:rPr>
                <w:rFonts w:ascii="Open Sans" w:eastAsia="Open Sans" w:hAnsi="Open Sans" w:cs="Open Sans"/>
                <w:b/>
                <w:sz w:val="20"/>
                <w:szCs w:val="20"/>
              </w:rPr>
              <w:t>Person</w:t>
            </w:r>
          </w:p>
        </w:tc>
      </w:tr>
      <w:tr w:rsidR="00015284" w14:paraId="11AFAFC6" w14:textId="77777777">
        <w:tc>
          <w:tcPr>
            <w:tcW w:w="3270" w:type="dxa"/>
            <w:tcMar>
              <w:top w:w="100" w:type="dxa"/>
              <w:left w:w="100" w:type="dxa"/>
              <w:bottom w:w="100" w:type="dxa"/>
              <w:right w:w="100" w:type="dxa"/>
            </w:tcMar>
          </w:tcPr>
          <w:p w14:paraId="363D601F" w14:textId="77777777" w:rsidR="00015284" w:rsidRDefault="00951C1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Draft 1.0 Finalized and Circulated to Symbios</w:t>
            </w:r>
          </w:p>
        </w:tc>
        <w:tc>
          <w:tcPr>
            <w:tcW w:w="1635" w:type="dxa"/>
            <w:tcMar>
              <w:top w:w="100" w:type="dxa"/>
              <w:left w:w="100" w:type="dxa"/>
              <w:bottom w:w="100" w:type="dxa"/>
              <w:right w:w="100" w:type="dxa"/>
            </w:tcMar>
          </w:tcPr>
          <w:p w14:paraId="6B9D646B" w14:textId="77777777" w:rsidR="00015284" w:rsidRDefault="00951C1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10/24/2025</w:t>
            </w:r>
          </w:p>
        </w:tc>
        <w:tc>
          <w:tcPr>
            <w:tcW w:w="4455" w:type="dxa"/>
            <w:tcMar>
              <w:top w:w="100" w:type="dxa"/>
              <w:left w:w="100" w:type="dxa"/>
              <w:bottom w:w="100" w:type="dxa"/>
              <w:right w:w="100" w:type="dxa"/>
            </w:tcMar>
          </w:tcPr>
          <w:p w14:paraId="10225F53" w14:textId="77777777" w:rsidR="00015284" w:rsidRDefault="00951C1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Alyssa Whitcraft (</w:t>
            </w:r>
            <w:hyperlink r:id="rId19">
              <w:r>
                <w:rPr>
                  <w:rFonts w:ascii="Open Sans" w:eastAsia="Open Sans" w:hAnsi="Open Sans" w:cs="Open Sans"/>
                  <w:color w:val="1155CC"/>
                  <w:sz w:val="20"/>
                  <w:szCs w:val="20"/>
                  <w:u w:val="single"/>
                </w:rPr>
                <w:t>akwhitcraft@GEOGLAM.org</w:t>
              </w:r>
            </w:hyperlink>
            <w:r>
              <w:rPr>
                <w:rFonts w:ascii="Open Sans" w:eastAsia="Open Sans" w:hAnsi="Open Sans" w:cs="Open Sans"/>
                <w:sz w:val="20"/>
                <w:szCs w:val="20"/>
              </w:rPr>
              <w:t xml:space="preserve">) </w:t>
            </w:r>
          </w:p>
        </w:tc>
      </w:tr>
      <w:tr w:rsidR="00015284" w14:paraId="220CC24F" w14:textId="77777777">
        <w:tc>
          <w:tcPr>
            <w:tcW w:w="3270" w:type="dxa"/>
            <w:tcMar>
              <w:top w:w="100" w:type="dxa"/>
              <w:left w:w="100" w:type="dxa"/>
              <w:bottom w:w="100" w:type="dxa"/>
              <w:right w:w="100" w:type="dxa"/>
            </w:tcMar>
          </w:tcPr>
          <w:p w14:paraId="1BF6F063" w14:textId="77777777" w:rsidR="00015284" w:rsidRDefault="00951C1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Feedback</w:t>
            </w:r>
          </w:p>
        </w:tc>
        <w:tc>
          <w:tcPr>
            <w:tcW w:w="1635" w:type="dxa"/>
            <w:tcMar>
              <w:top w:w="100" w:type="dxa"/>
              <w:left w:w="100" w:type="dxa"/>
              <w:bottom w:w="100" w:type="dxa"/>
              <w:right w:w="100" w:type="dxa"/>
            </w:tcMar>
          </w:tcPr>
          <w:p w14:paraId="6B70B4F1" w14:textId="77777777" w:rsidR="00015284" w:rsidRDefault="00951C1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10/21/2025</w:t>
            </w:r>
          </w:p>
        </w:tc>
        <w:tc>
          <w:tcPr>
            <w:tcW w:w="4455" w:type="dxa"/>
            <w:tcMar>
              <w:top w:w="100" w:type="dxa"/>
              <w:left w:w="100" w:type="dxa"/>
              <w:bottom w:w="100" w:type="dxa"/>
              <w:right w:w="100" w:type="dxa"/>
            </w:tcMar>
          </w:tcPr>
          <w:p w14:paraId="5DDA7D7B" w14:textId="77777777" w:rsidR="00015284" w:rsidRDefault="00951C1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Sven Gilliams (</w:t>
            </w:r>
            <w:hyperlink r:id="rId20">
              <w:r>
                <w:rPr>
                  <w:rFonts w:ascii="Open Sans" w:eastAsia="Open Sans" w:hAnsi="Open Sans" w:cs="Open Sans"/>
                  <w:color w:val="1155CC"/>
                  <w:sz w:val="20"/>
                  <w:szCs w:val="20"/>
                  <w:u w:val="single"/>
                </w:rPr>
                <w:t>sgilliams@geosec.org</w:t>
              </w:r>
            </w:hyperlink>
            <w:r>
              <w:rPr>
                <w:rFonts w:ascii="Open Sans" w:eastAsia="Open Sans" w:hAnsi="Open Sans" w:cs="Open Sans"/>
                <w:sz w:val="20"/>
                <w:szCs w:val="20"/>
              </w:rPr>
              <w:t xml:space="preserve">) </w:t>
            </w:r>
          </w:p>
        </w:tc>
      </w:tr>
      <w:tr w:rsidR="00015284" w14:paraId="589A99C0" w14:textId="77777777">
        <w:tc>
          <w:tcPr>
            <w:tcW w:w="3270" w:type="dxa"/>
            <w:tcMar>
              <w:top w:w="100" w:type="dxa"/>
              <w:left w:w="100" w:type="dxa"/>
              <w:bottom w:w="100" w:type="dxa"/>
              <w:right w:w="100" w:type="dxa"/>
            </w:tcMar>
          </w:tcPr>
          <w:p w14:paraId="5E871662" w14:textId="77777777" w:rsidR="00015284" w:rsidRDefault="00951C1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Draft Updated</w:t>
            </w:r>
          </w:p>
        </w:tc>
        <w:tc>
          <w:tcPr>
            <w:tcW w:w="1635" w:type="dxa"/>
            <w:tcMar>
              <w:top w:w="100" w:type="dxa"/>
              <w:left w:w="100" w:type="dxa"/>
              <w:bottom w:w="100" w:type="dxa"/>
              <w:right w:w="100" w:type="dxa"/>
            </w:tcMar>
          </w:tcPr>
          <w:p w14:paraId="7F728497" w14:textId="77777777" w:rsidR="00015284" w:rsidRDefault="00951C1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10/20/2025</w:t>
            </w:r>
          </w:p>
        </w:tc>
        <w:tc>
          <w:tcPr>
            <w:tcW w:w="4455" w:type="dxa"/>
            <w:tcMar>
              <w:top w:w="100" w:type="dxa"/>
              <w:left w:w="100" w:type="dxa"/>
              <w:bottom w:w="100" w:type="dxa"/>
              <w:right w:w="100" w:type="dxa"/>
            </w:tcMar>
          </w:tcPr>
          <w:p w14:paraId="675590A3" w14:textId="77777777" w:rsidR="00015284" w:rsidRDefault="00951C1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Alyssa Whitcraft</w:t>
            </w:r>
          </w:p>
        </w:tc>
      </w:tr>
      <w:tr w:rsidR="00015284" w14:paraId="50AE8C69" w14:textId="77777777">
        <w:tc>
          <w:tcPr>
            <w:tcW w:w="3270" w:type="dxa"/>
            <w:tcMar>
              <w:top w:w="100" w:type="dxa"/>
              <w:left w:w="100" w:type="dxa"/>
              <w:bottom w:w="100" w:type="dxa"/>
              <w:right w:w="100" w:type="dxa"/>
            </w:tcMar>
          </w:tcPr>
          <w:p w14:paraId="3E09411A" w14:textId="77777777" w:rsidR="00015284" w:rsidRDefault="00951C1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Contributions from EAV Lead Stewards </w:t>
            </w:r>
          </w:p>
        </w:tc>
        <w:tc>
          <w:tcPr>
            <w:tcW w:w="1635" w:type="dxa"/>
            <w:tcMar>
              <w:top w:w="100" w:type="dxa"/>
              <w:left w:w="100" w:type="dxa"/>
              <w:bottom w:w="100" w:type="dxa"/>
              <w:right w:w="100" w:type="dxa"/>
            </w:tcMar>
          </w:tcPr>
          <w:p w14:paraId="041360EF" w14:textId="77777777" w:rsidR="00015284" w:rsidRDefault="00951C14">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10/17/2025</w:t>
            </w:r>
          </w:p>
        </w:tc>
        <w:tc>
          <w:tcPr>
            <w:tcW w:w="4455" w:type="dxa"/>
            <w:tcMar>
              <w:top w:w="100" w:type="dxa"/>
              <w:left w:w="100" w:type="dxa"/>
              <w:bottom w:w="100" w:type="dxa"/>
              <w:right w:w="100" w:type="dxa"/>
            </w:tcMar>
          </w:tcPr>
          <w:p w14:paraId="767A662C" w14:textId="77777777" w:rsidR="00015284" w:rsidRDefault="00951C14">
            <w:pPr>
              <w:widowControl w:val="0"/>
              <w:pBdr>
                <w:top w:val="nil"/>
                <w:left w:val="nil"/>
                <w:bottom w:val="nil"/>
                <w:right w:val="nil"/>
                <w:between w:val="nil"/>
              </w:pBdr>
              <w:spacing w:line="240" w:lineRule="auto"/>
              <w:rPr>
                <w:rFonts w:ascii="Open Sans" w:eastAsia="Open Sans" w:hAnsi="Open Sans" w:cs="Open Sans"/>
                <w:i/>
                <w:sz w:val="20"/>
                <w:szCs w:val="20"/>
              </w:rPr>
            </w:pPr>
            <w:r>
              <w:rPr>
                <w:rFonts w:ascii="Open Sans" w:eastAsia="Open Sans" w:hAnsi="Open Sans" w:cs="Open Sans"/>
                <w:i/>
                <w:sz w:val="20"/>
                <w:szCs w:val="20"/>
              </w:rPr>
              <w:t>See within document</w:t>
            </w:r>
          </w:p>
        </w:tc>
      </w:tr>
      <w:tr w:rsidR="00015284" w14:paraId="3CF23527" w14:textId="77777777">
        <w:tc>
          <w:tcPr>
            <w:tcW w:w="3270" w:type="dxa"/>
            <w:tcMar>
              <w:top w:w="100" w:type="dxa"/>
              <w:left w:w="100" w:type="dxa"/>
              <w:bottom w:w="100" w:type="dxa"/>
              <w:right w:w="100" w:type="dxa"/>
            </w:tcMar>
          </w:tcPr>
          <w:p w14:paraId="534D7DAC" w14:textId="77777777" w:rsidR="00015284" w:rsidRDefault="00951C14">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Feedback</w:t>
            </w:r>
          </w:p>
        </w:tc>
        <w:tc>
          <w:tcPr>
            <w:tcW w:w="1635" w:type="dxa"/>
            <w:tcMar>
              <w:top w:w="100" w:type="dxa"/>
              <w:left w:w="100" w:type="dxa"/>
              <w:bottom w:w="100" w:type="dxa"/>
              <w:right w:w="100" w:type="dxa"/>
            </w:tcMar>
          </w:tcPr>
          <w:p w14:paraId="5EDB0E0B" w14:textId="77777777" w:rsidR="00015284" w:rsidRDefault="00951C14">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10/1/2025</w:t>
            </w:r>
          </w:p>
        </w:tc>
        <w:tc>
          <w:tcPr>
            <w:tcW w:w="4455" w:type="dxa"/>
            <w:tcMar>
              <w:top w:w="100" w:type="dxa"/>
              <w:left w:w="100" w:type="dxa"/>
              <w:bottom w:w="100" w:type="dxa"/>
              <w:right w:w="100" w:type="dxa"/>
            </w:tcMar>
          </w:tcPr>
          <w:p w14:paraId="14B69EAE" w14:textId="77777777" w:rsidR="00015284" w:rsidRDefault="00951C14">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Felix Rembold, Michele Meroni</w:t>
            </w:r>
          </w:p>
        </w:tc>
      </w:tr>
      <w:tr w:rsidR="00015284" w14:paraId="2D04AB29" w14:textId="77777777">
        <w:tc>
          <w:tcPr>
            <w:tcW w:w="3270" w:type="dxa"/>
            <w:tcMar>
              <w:top w:w="100" w:type="dxa"/>
              <w:left w:w="100" w:type="dxa"/>
              <w:bottom w:w="100" w:type="dxa"/>
              <w:right w:w="100" w:type="dxa"/>
            </w:tcMar>
          </w:tcPr>
          <w:p w14:paraId="32EDFEFF" w14:textId="77777777" w:rsidR="00015284" w:rsidRDefault="00951C14">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Draft Initiated</w:t>
            </w:r>
          </w:p>
        </w:tc>
        <w:tc>
          <w:tcPr>
            <w:tcW w:w="1635" w:type="dxa"/>
            <w:tcMar>
              <w:top w:w="100" w:type="dxa"/>
              <w:left w:w="100" w:type="dxa"/>
              <w:bottom w:w="100" w:type="dxa"/>
              <w:right w:w="100" w:type="dxa"/>
            </w:tcMar>
          </w:tcPr>
          <w:p w14:paraId="6F5C50B4" w14:textId="77777777" w:rsidR="00015284" w:rsidRDefault="00951C14">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6/12/2025</w:t>
            </w:r>
          </w:p>
        </w:tc>
        <w:tc>
          <w:tcPr>
            <w:tcW w:w="4455" w:type="dxa"/>
            <w:tcMar>
              <w:top w:w="100" w:type="dxa"/>
              <w:left w:w="100" w:type="dxa"/>
              <w:bottom w:w="100" w:type="dxa"/>
              <w:right w:w="100" w:type="dxa"/>
            </w:tcMar>
          </w:tcPr>
          <w:p w14:paraId="439101F3" w14:textId="77777777" w:rsidR="00015284" w:rsidRDefault="00951C14">
            <w:pPr>
              <w:widowControl w:val="0"/>
              <w:spacing w:line="240" w:lineRule="auto"/>
              <w:rPr>
                <w:rFonts w:ascii="Open Sans" w:eastAsia="Open Sans" w:hAnsi="Open Sans" w:cs="Open Sans"/>
                <w:sz w:val="20"/>
                <w:szCs w:val="20"/>
              </w:rPr>
            </w:pPr>
            <w:r>
              <w:rPr>
                <w:rFonts w:ascii="Open Sans" w:eastAsia="Open Sans" w:hAnsi="Open Sans" w:cs="Open Sans"/>
                <w:sz w:val="20"/>
                <w:szCs w:val="20"/>
              </w:rPr>
              <w:t>Alyssa Whitcraft</w:t>
            </w:r>
          </w:p>
        </w:tc>
      </w:tr>
    </w:tbl>
    <w:p w14:paraId="2726FC3E" w14:textId="77777777" w:rsidR="00015284" w:rsidRDefault="00015284">
      <w:pPr>
        <w:rPr>
          <w:rFonts w:ascii="Open Sans" w:eastAsia="Open Sans" w:hAnsi="Open Sans" w:cs="Open Sans"/>
        </w:rPr>
      </w:pPr>
    </w:p>
    <w:sectPr w:rsidR="00015284">
      <w:headerReference w:type="default" r:id="rId21"/>
      <w:footerReference w:type="default" r:id="rId22"/>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Dr J. J. Remedios" w:date="2025-10-27T00:24:00Z" w:initials="RJ(">
    <w:p w14:paraId="4CFB868E" w14:textId="67918269" w:rsidR="00EF394E" w:rsidRDefault="00EF394E">
      <w:pPr>
        <w:pStyle w:val="CommentText"/>
      </w:pPr>
      <w:r>
        <w:rPr>
          <w:rStyle w:val="CommentReference"/>
        </w:rPr>
        <w:annotationRef/>
      </w:r>
      <w:r>
        <w:t>This bullet point didn’t quite scan.</w:t>
      </w:r>
    </w:p>
  </w:comment>
  <w:comment w:id="16" w:author="Dr J. J. Remedios" w:date="2025-10-27T00:42:00Z" w:initials="RJ(">
    <w:p w14:paraId="52C0D647" w14:textId="7C514ACA" w:rsidR="00951C14" w:rsidRDefault="00951C14">
      <w:pPr>
        <w:pStyle w:val="CommentText"/>
      </w:pPr>
      <w:r>
        <w:rPr>
          <w:rStyle w:val="CommentReference"/>
        </w:rPr>
        <w:annotationRef/>
      </w:r>
      <w:r>
        <w:t>Incomplete sentence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CFB868E" w15:done="0"/>
  <w15:commentEx w15:paraId="52C0D64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A93A54" w16cex:dateUtc="2025-10-27T00:24:00Z"/>
  <w16cex:commentExtensible w16cex:durableId="2CA93E6F" w16cex:dateUtc="2025-10-27T00: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CFB868E" w16cid:durableId="2CA93A54"/>
  <w16cid:commentId w16cid:paraId="52C0D647" w16cid:durableId="2CA93E6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D7737" w14:textId="77777777" w:rsidR="002815EE" w:rsidRDefault="002815EE">
      <w:pPr>
        <w:spacing w:line="240" w:lineRule="auto"/>
      </w:pPr>
      <w:r>
        <w:separator/>
      </w:r>
    </w:p>
  </w:endnote>
  <w:endnote w:type="continuationSeparator" w:id="0">
    <w:p w14:paraId="541A27C9" w14:textId="77777777" w:rsidR="002815EE" w:rsidRDefault="002815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AA676" w14:textId="77777777" w:rsidR="00015284" w:rsidRDefault="00951C14">
    <w:pPr>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567CA7">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8681F" w14:textId="77777777" w:rsidR="002815EE" w:rsidRDefault="002815EE">
      <w:pPr>
        <w:spacing w:line="240" w:lineRule="auto"/>
      </w:pPr>
      <w:r>
        <w:separator/>
      </w:r>
    </w:p>
  </w:footnote>
  <w:footnote w:type="continuationSeparator" w:id="0">
    <w:p w14:paraId="75BE25CF" w14:textId="77777777" w:rsidR="002815EE" w:rsidRDefault="002815E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3A334" w14:textId="77777777" w:rsidR="00015284" w:rsidRDefault="00951C14">
    <w:r>
      <w:rPr>
        <w:noProof/>
      </w:rPr>
      <w:drawing>
        <wp:inline distT="114300" distB="114300" distL="114300" distR="114300" wp14:anchorId="62A3E498" wp14:editId="44857C67">
          <wp:extent cx="1682115" cy="516929"/>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682115" cy="516929"/>
                  </a:xfrm>
                  <a:prstGeom prst="rect">
                    <a:avLst/>
                  </a:prstGeom>
                  <a:ln/>
                </pic:spPr>
              </pic:pic>
            </a:graphicData>
          </a:graphic>
        </wp:inline>
      </w:drawing>
    </w:r>
  </w:p>
  <w:p w14:paraId="78C8BA4F" w14:textId="77777777" w:rsidR="00015284" w:rsidRDefault="00015284">
    <w:pPr>
      <w:rPr>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47219"/>
    <w:multiLevelType w:val="multilevel"/>
    <w:tmpl w:val="E522E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CD356F"/>
    <w:multiLevelType w:val="multilevel"/>
    <w:tmpl w:val="2760E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526CF7"/>
    <w:multiLevelType w:val="multilevel"/>
    <w:tmpl w:val="39B65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863928"/>
    <w:multiLevelType w:val="multilevel"/>
    <w:tmpl w:val="EB388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8F2369"/>
    <w:multiLevelType w:val="multilevel"/>
    <w:tmpl w:val="4A44615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15:restartNumberingAfterBreak="0">
    <w:nsid w:val="30991EBD"/>
    <w:multiLevelType w:val="multilevel"/>
    <w:tmpl w:val="C37E3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533AB2"/>
    <w:multiLevelType w:val="multilevel"/>
    <w:tmpl w:val="F7AC4A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8AF5339"/>
    <w:multiLevelType w:val="multilevel"/>
    <w:tmpl w:val="EDC2B0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C1D5C27"/>
    <w:multiLevelType w:val="multilevel"/>
    <w:tmpl w:val="025A8A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C31093"/>
    <w:multiLevelType w:val="multilevel"/>
    <w:tmpl w:val="299CAE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69F64CC"/>
    <w:multiLevelType w:val="multilevel"/>
    <w:tmpl w:val="61EC2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7F7322C"/>
    <w:multiLevelType w:val="multilevel"/>
    <w:tmpl w:val="0BBEE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9670618">
    <w:abstractNumId w:val="3"/>
  </w:num>
  <w:num w:numId="2" w16cid:durableId="994918843">
    <w:abstractNumId w:val="10"/>
  </w:num>
  <w:num w:numId="3" w16cid:durableId="353963503">
    <w:abstractNumId w:val="1"/>
  </w:num>
  <w:num w:numId="4" w16cid:durableId="164102473">
    <w:abstractNumId w:val="4"/>
  </w:num>
  <w:num w:numId="5" w16cid:durableId="244267326">
    <w:abstractNumId w:val="5"/>
  </w:num>
  <w:num w:numId="6" w16cid:durableId="301271240">
    <w:abstractNumId w:val="8"/>
  </w:num>
  <w:num w:numId="7" w16cid:durableId="550389815">
    <w:abstractNumId w:val="7"/>
  </w:num>
  <w:num w:numId="8" w16cid:durableId="1243489566">
    <w:abstractNumId w:val="0"/>
  </w:num>
  <w:num w:numId="9" w16cid:durableId="598025498">
    <w:abstractNumId w:val="11"/>
  </w:num>
  <w:num w:numId="10" w16cid:durableId="787119322">
    <w:abstractNumId w:val="9"/>
  </w:num>
  <w:num w:numId="11" w16cid:durableId="703017814">
    <w:abstractNumId w:val="6"/>
  </w:num>
  <w:num w:numId="12" w16cid:durableId="208964510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r J. J. Remedios">
    <w15:presenceInfo w15:providerId="AD" w15:userId="S::jjr8@leicester.ac.uk::92f187e8-5de9-41f4-8725-9c4fe89211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284"/>
    <w:rsid w:val="00015284"/>
    <w:rsid w:val="001A1AB9"/>
    <w:rsid w:val="002815EE"/>
    <w:rsid w:val="00567CA7"/>
    <w:rsid w:val="00951C14"/>
    <w:rsid w:val="00A261B6"/>
    <w:rsid w:val="00A43059"/>
    <w:rsid w:val="00AA16A9"/>
    <w:rsid w:val="00EF39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3F79C"/>
  <w15:docId w15:val="{8AC1509F-A37C-48FF-AD62-505CC2CB1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60" w:after="120" w:line="240" w:lineRule="auto"/>
      <w:outlineLvl w:val="0"/>
    </w:pPr>
    <w:rPr>
      <w:rFonts w:ascii="Open Sans" w:eastAsia="Open Sans" w:hAnsi="Open Sans" w:cs="Open Sans"/>
      <w:b/>
      <w:color w:val="0F4761"/>
      <w:sz w:val="28"/>
      <w:szCs w:val="28"/>
    </w:rPr>
  </w:style>
  <w:style w:type="paragraph" w:styleId="Heading2">
    <w:name w:val="heading 2"/>
    <w:basedOn w:val="Normal"/>
    <w:next w:val="Normal"/>
    <w:uiPriority w:val="9"/>
    <w:unhideWhenUsed/>
    <w:qFormat/>
    <w:pPr>
      <w:keepNext/>
      <w:keepLines/>
      <w:outlineLvl w:val="1"/>
    </w:pPr>
    <w:rPr>
      <w:rFonts w:ascii="Open Sans" w:eastAsia="Open Sans" w:hAnsi="Open Sans" w:cs="Open Sans"/>
      <w:b/>
      <w:color w:val="0B5394"/>
      <w:sz w:val="24"/>
      <w:szCs w:val="24"/>
    </w:rPr>
  </w:style>
  <w:style w:type="paragraph" w:styleId="Heading3">
    <w:name w:val="heading 3"/>
    <w:basedOn w:val="Normal"/>
    <w:next w:val="Normal"/>
    <w:uiPriority w:val="9"/>
    <w:unhideWhenUsed/>
    <w:qFormat/>
    <w:pPr>
      <w:keepNext/>
      <w:keepLines/>
      <w:spacing w:before="160" w:after="80"/>
      <w:outlineLvl w:val="2"/>
    </w:pPr>
    <w:rPr>
      <w:rFonts w:ascii="Open Sans" w:eastAsia="Open Sans" w:hAnsi="Open Sans" w:cs="Open Sans"/>
      <w:color w:val="0F4761"/>
      <w:sz w:val="24"/>
      <w:szCs w:val="24"/>
    </w:rPr>
  </w:style>
  <w:style w:type="paragraph" w:styleId="Heading4">
    <w:name w:val="heading 4"/>
    <w:basedOn w:val="Normal"/>
    <w:next w:val="Normal"/>
    <w:uiPriority w:val="9"/>
    <w:unhideWhenUsed/>
    <w:qFormat/>
    <w:pPr>
      <w:keepNext/>
      <w:keepLines/>
      <w:outlineLvl w:val="3"/>
    </w:pPr>
    <w:rPr>
      <w:rFonts w:ascii="Open Sans" w:eastAsia="Open Sans" w:hAnsi="Open Sans" w:cs="Open Sans"/>
      <w:i/>
      <w:color w:val="0B5394"/>
      <w:sz w:val="24"/>
      <w:szCs w:val="24"/>
    </w:rPr>
  </w:style>
  <w:style w:type="paragraph" w:styleId="Heading5">
    <w:name w:val="heading 5"/>
    <w:basedOn w:val="Normal"/>
    <w:next w:val="Normal"/>
    <w:uiPriority w:val="9"/>
    <w:semiHidden/>
    <w:unhideWhenUsed/>
    <w:qFormat/>
    <w:pPr>
      <w:keepNext/>
      <w:keepLines/>
      <w:spacing w:before="160" w:after="80"/>
      <w:outlineLvl w:val="4"/>
    </w:pPr>
    <w:rPr>
      <w:rFonts w:ascii="Open Sans" w:eastAsia="Open Sans" w:hAnsi="Open Sans" w:cs="Open Sans"/>
      <w:b/>
      <w:color w:val="38761D"/>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styleId="CommentReference">
    <w:name w:val="annotation reference"/>
    <w:basedOn w:val="DefaultParagraphFont"/>
    <w:uiPriority w:val="99"/>
    <w:semiHidden/>
    <w:unhideWhenUsed/>
    <w:rsid w:val="001A1AB9"/>
    <w:rPr>
      <w:sz w:val="16"/>
      <w:szCs w:val="16"/>
    </w:rPr>
  </w:style>
  <w:style w:type="paragraph" w:styleId="CommentText">
    <w:name w:val="annotation text"/>
    <w:basedOn w:val="Normal"/>
    <w:link w:val="CommentTextChar"/>
    <w:uiPriority w:val="99"/>
    <w:semiHidden/>
    <w:unhideWhenUsed/>
    <w:rsid w:val="001A1AB9"/>
    <w:pPr>
      <w:spacing w:line="240" w:lineRule="auto"/>
    </w:pPr>
    <w:rPr>
      <w:sz w:val="20"/>
      <w:szCs w:val="20"/>
    </w:rPr>
  </w:style>
  <w:style w:type="character" w:customStyle="1" w:styleId="CommentTextChar">
    <w:name w:val="Comment Text Char"/>
    <w:basedOn w:val="DefaultParagraphFont"/>
    <w:link w:val="CommentText"/>
    <w:uiPriority w:val="99"/>
    <w:semiHidden/>
    <w:rsid w:val="001A1AB9"/>
    <w:rPr>
      <w:sz w:val="20"/>
      <w:szCs w:val="20"/>
    </w:rPr>
  </w:style>
  <w:style w:type="paragraph" w:styleId="CommentSubject">
    <w:name w:val="annotation subject"/>
    <w:basedOn w:val="CommentText"/>
    <w:next w:val="CommentText"/>
    <w:link w:val="CommentSubjectChar"/>
    <w:uiPriority w:val="99"/>
    <w:semiHidden/>
    <w:unhideWhenUsed/>
    <w:rsid w:val="001A1AB9"/>
    <w:rPr>
      <w:b/>
      <w:bCs/>
    </w:rPr>
  </w:style>
  <w:style w:type="character" w:customStyle="1" w:styleId="CommentSubjectChar">
    <w:name w:val="Comment Subject Char"/>
    <w:basedOn w:val="CommentTextChar"/>
    <w:link w:val="CommentSubject"/>
    <w:uiPriority w:val="99"/>
    <w:semiHidden/>
    <w:rsid w:val="001A1AB9"/>
    <w:rPr>
      <w:b/>
      <w:bCs/>
      <w:sz w:val="20"/>
      <w:szCs w:val="20"/>
    </w:rPr>
  </w:style>
  <w:style w:type="paragraph" w:styleId="Revision">
    <w:name w:val="Revision"/>
    <w:hidden/>
    <w:uiPriority w:val="99"/>
    <w:semiHidden/>
    <w:rsid w:val="00AA16A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IwQbvS30-upT2N8qklVoQPxUmkOjHsmqsd1fK4WfBn8/edit?usp=sharing" TargetMode="External"/><Relationship Id="rId13" Type="http://schemas.openxmlformats.org/officeDocument/2006/relationships/hyperlink" Target="https://docs.google.com/spreadsheets/d/1IwQbvS30-upT2N8qklVoQPxUmkOjHsmqsd1fK4WfBn8/edit?usp=sharing"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docs.google.com/spreadsheets/d/1IwQbvS30-upT2N8qklVoQPxUmkOjHsmqsd1fK4WfBn8/edit?usp=sharing" TargetMode="External"/><Relationship Id="rId17" Type="http://schemas.microsoft.com/office/2018/08/relationships/commentsExtensible" Target="commentsExtensible.xml"/><Relationship Id="rId25" Type="http://schemas.openxmlformats.org/officeDocument/2006/relationships/theme" Target="theme/theme1.xml"/><Relationship Id="rId2" Type="http://schemas.openxmlformats.org/officeDocument/2006/relationships/styles" Target="styles.xml"/><Relationship Id="rId16" Type="http://schemas.microsoft.com/office/2016/09/relationships/commentsIds" Target="commentsIds.xml"/><Relationship Id="rId20" Type="http://schemas.openxmlformats.org/officeDocument/2006/relationships/hyperlink" Target="mailto:sgilliams@geosec.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akwhitcraft@GEOGLAM.or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omments" Target="comments.xm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12</Pages>
  <Words>2826</Words>
  <Characters>16110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Remedios, John (Prof.)</dc:creator>
  <cp:lastModifiedBy>Matthew Steventon</cp:lastModifiedBy>
  <cp:revision>4</cp:revision>
  <dcterms:created xsi:type="dcterms:W3CDTF">2025-10-27T00:09:00Z</dcterms:created>
  <dcterms:modified xsi:type="dcterms:W3CDTF">2025-10-29T13:07:00Z</dcterms:modified>
</cp:coreProperties>
</file>