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CEF6" w14:textId="5C5F89CB" w:rsidR="003934A9" w:rsidRDefault="003934A9" w:rsidP="003934A9">
      <w:pPr>
        <w:tabs>
          <w:tab w:val="center" w:pos="4680"/>
        </w:tabs>
        <w:spacing w:after="0"/>
        <w:jc w:val="center"/>
        <w:rPr>
          <w:b/>
          <w:sz w:val="32"/>
        </w:rPr>
      </w:pPr>
    </w:p>
    <w:p w14:paraId="58360796" w14:textId="2BCDF357" w:rsidR="00694053" w:rsidRDefault="00694053" w:rsidP="003934A9">
      <w:pPr>
        <w:tabs>
          <w:tab w:val="center" w:pos="4680"/>
        </w:tabs>
        <w:spacing w:after="0"/>
        <w:jc w:val="center"/>
        <w:rPr>
          <w:b/>
          <w:sz w:val="32"/>
        </w:rPr>
      </w:pPr>
    </w:p>
    <w:p w14:paraId="16FD0F06" w14:textId="77777777" w:rsidR="00694053" w:rsidRDefault="00694053" w:rsidP="003934A9">
      <w:pPr>
        <w:tabs>
          <w:tab w:val="center" w:pos="4680"/>
        </w:tabs>
        <w:spacing w:after="0"/>
        <w:jc w:val="center"/>
        <w:rPr>
          <w:b/>
          <w:sz w:val="32"/>
        </w:rPr>
      </w:pPr>
    </w:p>
    <w:p w14:paraId="395F72FB" w14:textId="77777777" w:rsidR="003934A9" w:rsidRDefault="003934A9" w:rsidP="003934A9">
      <w:pPr>
        <w:tabs>
          <w:tab w:val="center" w:pos="4680"/>
        </w:tabs>
        <w:spacing w:after="0"/>
        <w:jc w:val="center"/>
        <w:rPr>
          <w:b/>
          <w:sz w:val="32"/>
        </w:rPr>
      </w:pPr>
    </w:p>
    <w:p w14:paraId="1DCAE931" w14:textId="77777777" w:rsidR="003934A9" w:rsidRDefault="003934A9" w:rsidP="003934A9">
      <w:pPr>
        <w:tabs>
          <w:tab w:val="center" w:pos="4680"/>
        </w:tabs>
        <w:spacing w:after="0"/>
        <w:jc w:val="center"/>
        <w:rPr>
          <w:b/>
          <w:sz w:val="32"/>
        </w:rPr>
      </w:pPr>
    </w:p>
    <w:p w14:paraId="7B2323B4" w14:textId="591EF0E8" w:rsidR="00854713" w:rsidRDefault="00854713" w:rsidP="003934A9">
      <w:pPr>
        <w:tabs>
          <w:tab w:val="center" w:pos="4680"/>
        </w:tabs>
        <w:spacing w:after="0"/>
        <w:jc w:val="center"/>
        <w:rPr>
          <w:b/>
          <w:sz w:val="32"/>
        </w:rPr>
      </w:pPr>
      <w:bookmarkStart w:id="0" w:name="_Hlk207033078"/>
      <w:r>
        <w:rPr>
          <w:b/>
          <w:sz w:val="32"/>
        </w:rPr>
        <w:t xml:space="preserve">Initial Proposal </w:t>
      </w:r>
      <w:r w:rsidR="00AB6157">
        <w:rPr>
          <w:b/>
          <w:sz w:val="32"/>
        </w:rPr>
        <w:t xml:space="preserve">and Terms of Reference </w:t>
      </w:r>
      <w:bookmarkEnd w:id="0"/>
      <w:r w:rsidR="00C942A2">
        <w:rPr>
          <w:b/>
          <w:sz w:val="32"/>
        </w:rPr>
        <w:t xml:space="preserve">for </w:t>
      </w:r>
      <w:r>
        <w:rPr>
          <w:b/>
          <w:sz w:val="32"/>
        </w:rPr>
        <w:t xml:space="preserve">a </w:t>
      </w:r>
    </w:p>
    <w:p w14:paraId="0C60C6C2" w14:textId="287DBF5D" w:rsidR="003934A9" w:rsidRDefault="00C942A2" w:rsidP="003934A9">
      <w:pPr>
        <w:tabs>
          <w:tab w:val="center" w:pos="4680"/>
        </w:tabs>
        <w:spacing w:after="0"/>
        <w:jc w:val="center"/>
        <w:rPr>
          <w:b/>
          <w:sz w:val="32"/>
        </w:rPr>
      </w:pPr>
      <w:r>
        <w:rPr>
          <w:b/>
          <w:sz w:val="32"/>
        </w:rPr>
        <w:t xml:space="preserve">CEOS </w:t>
      </w:r>
      <w:r w:rsidR="003934A9" w:rsidRPr="006B08F7">
        <w:rPr>
          <w:b/>
          <w:sz w:val="32"/>
        </w:rPr>
        <w:t>Biodiversity Virtual Constellation</w:t>
      </w:r>
      <w:r w:rsidR="003934A9">
        <w:rPr>
          <w:b/>
          <w:sz w:val="32"/>
        </w:rPr>
        <w:t xml:space="preserve"> </w:t>
      </w:r>
    </w:p>
    <w:p w14:paraId="77B5BEAA" w14:textId="77777777" w:rsidR="003934A9" w:rsidRDefault="003934A9" w:rsidP="003934A9">
      <w:pPr>
        <w:tabs>
          <w:tab w:val="center" w:pos="4680"/>
        </w:tabs>
        <w:rPr>
          <w:b/>
          <w:sz w:val="28"/>
        </w:rPr>
      </w:pPr>
      <w:r>
        <w:rPr>
          <w:b/>
          <w:sz w:val="28"/>
        </w:rPr>
        <w:tab/>
      </w:r>
    </w:p>
    <w:p w14:paraId="126076D2" w14:textId="45866900" w:rsidR="003934A9" w:rsidRDefault="003934A9" w:rsidP="003934A9">
      <w:pPr>
        <w:tabs>
          <w:tab w:val="center" w:pos="4680"/>
        </w:tabs>
        <w:spacing w:after="0"/>
        <w:jc w:val="center"/>
        <w:rPr>
          <w:b/>
          <w:sz w:val="28"/>
        </w:rPr>
      </w:pPr>
      <w:bookmarkStart w:id="1" w:name="_Hlk206603620"/>
      <w:r>
        <w:rPr>
          <w:b/>
          <w:sz w:val="28"/>
        </w:rPr>
        <w:t>Draft for discussion at the CEOS SIT Technical Workshop</w:t>
      </w:r>
    </w:p>
    <w:bookmarkEnd w:id="1"/>
    <w:p w14:paraId="19BB21E5" w14:textId="77777777" w:rsidR="003934A9" w:rsidRPr="0058051D" w:rsidRDefault="003934A9" w:rsidP="003934A9">
      <w:pPr>
        <w:tabs>
          <w:tab w:val="center" w:pos="4680"/>
        </w:tabs>
        <w:spacing w:after="0"/>
        <w:jc w:val="center"/>
        <w:rPr>
          <w:b/>
        </w:rPr>
      </w:pPr>
      <w:r w:rsidRPr="0058051D">
        <w:rPr>
          <w:b/>
        </w:rPr>
        <w:t>September 9th - 11th, 2025</w:t>
      </w:r>
    </w:p>
    <w:p w14:paraId="3B100C3C" w14:textId="77777777" w:rsidR="003934A9" w:rsidRPr="0058051D" w:rsidRDefault="003934A9" w:rsidP="003934A9">
      <w:pPr>
        <w:tabs>
          <w:tab w:val="center" w:pos="4680"/>
        </w:tabs>
        <w:spacing w:after="0"/>
        <w:jc w:val="center"/>
        <w:rPr>
          <w:b/>
          <w:sz w:val="28"/>
        </w:rPr>
      </w:pPr>
      <w:r w:rsidRPr="0058051D">
        <w:rPr>
          <w:b/>
        </w:rPr>
        <w:t>Darmstadt, Germany</w:t>
      </w:r>
    </w:p>
    <w:p w14:paraId="71B21C8E" w14:textId="77777777" w:rsidR="003934A9" w:rsidRDefault="003934A9" w:rsidP="003934A9">
      <w:pPr>
        <w:tabs>
          <w:tab w:val="center" w:pos="4680"/>
        </w:tabs>
        <w:jc w:val="center"/>
        <w:rPr>
          <w:b/>
          <w:sz w:val="28"/>
        </w:rPr>
      </w:pPr>
    </w:p>
    <w:p w14:paraId="58FE6DB8" w14:textId="77777777" w:rsidR="003934A9" w:rsidRDefault="003934A9" w:rsidP="003934A9">
      <w:pPr>
        <w:tabs>
          <w:tab w:val="center" w:pos="4680"/>
        </w:tabs>
        <w:spacing w:after="0"/>
        <w:jc w:val="center"/>
        <w:rPr>
          <w:b/>
          <w:sz w:val="28"/>
        </w:rPr>
      </w:pPr>
    </w:p>
    <w:p w14:paraId="33C408AE" w14:textId="77777777" w:rsidR="003934A9" w:rsidRDefault="003934A9" w:rsidP="003934A9">
      <w:pPr>
        <w:tabs>
          <w:tab w:val="center" w:pos="4680"/>
        </w:tabs>
        <w:spacing w:after="0"/>
        <w:jc w:val="center"/>
        <w:rPr>
          <w:b/>
          <w:sz w:val="28"/>
        </w:rPr>
      </w:pPr>
    </w:p>
    <w:p w14:paraId="028DD714" w14:textId="77777777" w:rsidR="003934A9" w:rsidRDefault="003934A9" w:rsidP="003934A9">
      <w:pPr>
        <w:tabs>
          <w:tab w:val="center" w:pos="4680"/>
        </w:tabs>
        <w:spacing w:after="0"/>
        <w:jc w:val="center"/>
        <w:rPr>
          <w:b/>
          <w:sz w:val="28"/>
        </w:rPr>
      </w:pPr>
    </w:p>
    <w:p w14:paraId="1680C1E8" w14:textId="77777777" w:rsidR="003934A9" w:rsidRDefault="003934A9" w:rsidP="003934A9">
      <w:pPr>
        <w:tabs>
          <w:tab w:val="center" w:pos="4680"/>
        </w:tabs>
        <w:spacing w:after="0"/>
        <w:jc w:val="center"/>
        <w:rPr>
          <w:b/>
          <w:sz w:val="28"/>
        </w:rPr>
      </w:pPr>
    </w:p>
    <w:p w14:paraId="649B9821" w14:textId="77777777" w:rsidR="003934A9" w:rsidRDefault="003934A9" w:rsidP="003934A9">
      <w:pPr>
        <w:tabs>
          <w:tab w:val="center" w:pos="4680"/>
        </w:tabs>
        <w:spacing w:after="0"/>
        <w:jc w:val="center"/>
        <w:rPr>
          <w:b/>
          <w:sz w:val="28"/>
        </w:rPr>
      </w:pPr>
    </w:p>
    <w:p w14:paraId="40281955" w14:textId="77777777" w:rsidR="003934A9" w:rsidRPr="005F5ED9" w:rsidRDefault="003934A9" w:rsidP="003934A9">
      <w:pPr>
        <w:tabs>
          <w:tab w:val="center" w:pos="4680"/>
        </w:tabs>
        <w:spacing w:after="0"/>
        <w:jc w:val="center"/>
        <w:rPr>
          <w:b/>
          <w:sz w:val="24"/>
        </w:rPr>
      </w:pPr>
      <w:r w:rsidRPr="005F5ED9">
        <w:rPr>
          <w:b/>
          <w:sz w:val="24"/>
        </w:rPr>
        <w:t>Biodiversity Study Team Co-leads:</w:t>
      </w:r>
    </w:p>
    <w:p w14:paraId="5D60A892" w14:textId="77777777" w:rsidR="003934A9" w:rsidRPr="005F5ED9" w:rsidRDefault="003934A9" w:rsidP="003934A9">
      <w:pPr>
        <w:tabs>
          <w:tab w:val="center" w:pos="4680"/>
        </w:tabs>
        <w:spacing w:after="0"/>
        <w:jc w:val="center"/>
        <w:rPr>
          <w:b/>
          <w:sz w:val="24"/>
        </w:rPr>
      </w:pPr>
      <w:r w:rsidRPr="005F5ED9">
        <w:rPr>
          <w:b/>
          <w:sz w:val="24"/>
        </w:rPr>
        <w:t>Gary Geller</w:t>
      </w:r>
      <w:r w:rsidRPr="005F5ED9">
        <w:rPr>
          <w:rStyle w:val="FootnoteReference"/>
          <w:b/>
          <w:sz w:val="24"/>
        </w:rPr>
        <w:footnoteReference w:id="1"/>
      </w:r>
      <w:r w:rsidRPr="005F5ED9">
        <w:rPr>
          <w:b/>
          <w:sz w:val="24"/>
        </w:rPr>
        <w:t>, NASA</w:t>
      </w:r>
    </w:p>
    <w:p w14:paraId="602FC8F2" w14:textId="77777777" w:rsidR="003934A9" w:rsidRPr="005F5ED9" w:rsidRDefault="003934A9" w:rsidP="003934A9">
      <w:pPr>
        <w:tabs>
          <w:tab w:val="center" w:pos="4680"/>
        </w:tabs>
        <w:spacing w:after="0"/>
        <w:jc w:val="center"/>
        <w:rPr>
          <w:b/>
          <w:sz w:val="24"/>
        </w:rPr>
      </w:pPr>
      <w:r w:rsidRPr="005F5ED9">
        <w:rPr>
          <w:b/>
          <w:sz w:val="24"/>
        </w:rPr>
        <w:t>Shaun Levick, CSIRO</w:t>
      </w:r>
    </w:p>
    <w:p w14:paraId="243CD8F0" w14:textId="77777777" w:rsidR="003934A9" w:rsidRPr="005F5ED9" w:rsidRDefault="003934A9" w:rsidP="003934A9">
      <w:pPr>
        <w:tabs>
          <w:tab w:val="center" w:pos="4680"/>
        </w:tabs>
        <w:spacing w:after="0"/>
        <w:jc w:val="center"/>
        <w:rPr>
          <w:b/>
          <w:sz w:val="24"/>
        </w:rPr>
      </w:pPr>
      <w:r w:rsidRPr="005F5ED9">
        <w:rPr>
          <w:b/>
          <w:sz w:val="24"/>
        </w:rPr>
        <w:t>Marc Paganini, ESA</w:t>
      </w:r>
    </w:p>
    <w:p w14:paraId="4D5B2DAD" w14:textId="77777777" w:rsidR="003934A9" w:rsidRDefault="003934A9" w:rsidP="003934A9">
      <w:pPr>
        <w:tabs>
          <w:tab w:val="center" w:pos="4680"/>
        </w:tabs>
        <w:jc w:val="center"/>
        <w:rPr>
          <w:b/>
          <w:sz w:val="28"/>
        </w:rPr>
      </w:pPr>
    </w:p>
    <w:p w14:paraId="757F4267" w14:textId="41BD73EC" w:rsidR="00832DE4" w:rsidRPr="00104E14" w:rsidRDefault="00832DE4" w:rsidP="00832DE4">
      <w:pPr>
        <w:spacing w:after="0"/>
        <w:jc w:val="center"/>
        <w:rPr>
          <w:b/>
        </w:rPr>
      </w:pPr>
      <w:r>
        <w:rPr>
          <w:b/>
        </w:rPr>
        <w:t>Version</w:t>
      </w:r>
      <w:r w:rsidRPr="00104E14">
        <w:rPr>
          <w:b/>
        </w:rPr>
        <w:t xml:space="preserve"> </w:t>
      </w:r>
      <w:r>
        <w:rPr>
          <w:b/>
        </w:rPr>
        <w:t>1.</w:t>
      </w:r>
      <w:r w:rsidR="004B5286">
        <w:rPr>
          <w:b/>
        </w:rPr>
        <w:t>4</w:t>
      </w:r>
    </w:p>
    <w:p w14:paraId="2E236474" w14:textId="427D72F9" w:rsidR="00832DE4" w:rsidRPr="00104E14" w:rsidRDefault="00832DE4" w:rsidP="00832DE4">
      <w:pPr>
        <w:jc w:val="center"/>
        <w:rPr>
          <w:b/>
        </w:rPr>
      </w:pPr>
      <w:r>
        <w:rPr>
          <w:b/>
        </w:rPr>
        <w:t>2</w:t>
      </w:r>
      <w:r w:rsidR="009B796C">
        <w:rPr>
          <w:b/>
        </w:rPr>
        <w:t>6</w:t>
      </w:r>
      <w:r>
        <w:rPr>
          <w:b/>
        </w:rPr>
        <w:t xml:space="preserve"> August </w:t>
      </w:r>
      <w:r w:rsidRPr="00104E14">
        <w:rPr>
          <w:b/>
        </w:rPr>
        <w:t>2025</w:t>
      </w:r>
    </w:p>
    <w:p w14:paraId="3045A1C6" w14:textId="26B2358C" w:rsidR="00AE5D94" w:rsidRDefault="00AE5D94" w:rsidP="00AE5D94">
      <w:pPr>
        <w:tabs>
          <w:tab w:val="center" w:pos="4680"/>
        </w:tabs>
        <w:rPr>
          <w:sz w:val="24"/>
        </w:rPr>
      </w:pPr>
    </w:p>
    <w:p w14:paraId="1DBCF721" w14:textId="75617A76" w:rsidR="00AE5D94" w:rsidRDefault="00AE5D94" w:rsidP="00AE5D94">
      <w:pPr>
        <w:tabs>
          <w:tab w:val="center" w:pos="4680"/>
        </w:tabs>
        <w:rPr>
          <w:sz w:val="24"/>
        </w:rPr>
      </w:pPr>
    </w:p>
    <w:p w14:paraId="37A3FA07" w14:textId="77777777" w:rsidR="00AE5D94" w:rsidRDefault="00AE5D94" w:rsidP="00AE5D94">
      <w:pPr>
        <w:tabs>
          <w:tab w:val="center" w:pos="4680"/>
        </w:tabs>
        <w:rPr>
          <w:sz w:val="24"/>
        </w:rPr>
      </w:pPr>
    </w:p>
    <w:p w14:paraId="384E9C2A" w14:textId="13183EF7" w:rsidR="00AE5D94" w:rsidRDefault="00AE5D94" w:rsidP="00AE5D94">
      <w:pPr>
        <w:tabs>
          <w:tab w:val="center" w:pos="4680"/>
        </w:tabs>
        <w:spacing w:after="0"/>
        <w:jc w:val="center"/>
        <w:rPr>
          <w:sz w:val="24"/>
        </w:rPr>
      </w:pPr>
      <w:r w:rsidRPr="0058051D">
        <w:rPr>
          <w:sz w:val="24"/>
        </w:rPr>
        <w:t xml:space="preserve">This document </w:t>
      </w:r>
      <w:r>
        <w:rPr>
          <w:sz w:val="24"/>
        </w:rPr>
        <w:t>follows the format for a VC Terms of Reference that is outlined in</w:t>
      </w:r>
    </w:p>
    <w:p w14:paraId="1B3A2E29" w14:textId="5312B9A1" w:rsidR="00AE5D94" w:rsidRDefault="00AE5D94" w:rsidP="00AE5D94">
      <w:pPr>
        <w:tabs>
          <w:tab w:val="center" w:pos="4680"/>
        </w:tabs>
        <w:spacing w:after="0"/>
        <w:jc w:val="center"/>
        <w:rPr>
          <w:sz w:val="24"/>
        </w:rPr>
      </w:pPr>
      <w:r>
        <w:rPr>
          <w:sz w:val="24"/>
        </w:rPr>
        <w:t xml:space="preserve">Annex 3 of the </w:t>
      </w:r>
      <w:hyperlink r:id="rId7" w:history="1">
        <w:r w:rsidRPr="00007168">
          <w:rPr>
            <w:rStyle w:val="Hyperlink"/>
            <w:sz w:val="24"/>
          </w:rPr>
          <w:t>CEOS Virtual Constellation Process Paper</w:t>
        </w:r>
      </w:hyperlink>
      <w:r>
        <w:rPr>
          <w:sz w:val="24"/>
        </w:rPr>
        <w:t xml:space="preserve"> </w:t>
      </w:r>
    </w:p>
    <w:p w14:paraId="795AAD2B" w14:textId="77777777" w:rsidR="00AE5D94" w:rsidRDefault="00AE5D94">
      <w:pPr>
        <w:rPr>
          <w:sz w:val="24"/>
        </w:rPr>
      </w:pPr>
      <w:r>
        <w:rPr>
          <w:sz w:val="24"/>
        </w:rPr>
        <w:br w:type="page"/>
      </w:r>
    </w:p>
    <w:p w14:paraId="50F1F06B" w14:textId="77777777" w:rsidR="003934A9" w:rsidRPr="003934A9" w:rsidRDefault="003934A9" w:rsidP="00AE5D94">
      <w:pPr>
        <w:tabs>
          <w:tab w:val="center" w:pos="4680"/>
        </w:tabs>
        <w:jc w:val="center"/>
        <w:rPr>
          <w:b/>
          <w:sz w:val="28"/>
        </w:rPr>
      </w:pPr>
    </w:p>
    <w:p w14:paraId="4E7FEA27" w14:textId="07D54163" w:rsidR="00A6431E" w:rsidRPr="00104E14" w:rsidRDefault="00A6431E" w:rsidP="00A6431E">
      <w:pPr>
        <w:spacing w:after="0"/>
        <w:jc w:val="center"/>
        <w:rPr>
          <w:b/>
        </w:rPr>
      </w:pPr>
      <w:r w:rsidRPr="00104E14">
        <w:rPr>
          <w:b/>
        </w:rPr>
        <w:t xml:space="preserve">TERMS OF REFERENCE FOR THE CEOS </w:t>
      </w:r>
    </w:p>
    <w:p w14:paraId="1C46A6D2" w14:textId="77777777" w:rsidR="00570E90" w:rsidRPr="00104E14" w:rsidRDefault="00A6431E" w:rsidP="00A6431E">
      <w:pPr>
        <w:jc w:val="center"/>
        <w:rPr>
          <w:b/>
        </w:rPr>
      </w:pPr>
      <w:r w:rsidRPr="00104E14">
        <w:rPr>
          <w:b/>
        </w:rPr>
        <w:t>BIODIVERSITY VIRTUAL CONSTELLATION</w:t>
      </w:r>
    </w:p>
    <w:p w14:paraId="5D7A9929" w14:textId="56097FF8" w:rsidR="001120F8" w:rsidRPr="00104E14" w:rsidRDefault="00367C6A" w:rsidP="001120F8">
      <w:pPr>
        <w:spacing w:after="0"/>
        <w:jc w:val="center"/>
        <w:rPr>
          <w:b/>
        </w:rPr>
      </w:pPr>
      <w:r>
        <w:rPr>
          <w:b/>
        </w:rPr>
        <w:t xml:space="preserve">DRAFT </w:t>
      </w:r>
      <w:r w:rsidR="00A6431E" w:rsidRPr="00104E14">
        <w:rPr>
          <w:b/>
        </w:rPr>
        <w:t xml:space="preserve">VERSION </w:t>
      </w:r>
      <w:r w:rsidR="0074601B">
        <w:rPr>
          <w:b/>
        </w:rPr>
        <w:t>1.</w:t>
      </w:r>
      <w:r w:rsidR="00854713">
        <w:rPr>
          <w:b/>
        </w:rPr>
        <w:t>3</w:t>
      </w:r>
      <w:r w:rsidR="006F44B9">
        <w:rPr>
          <w:b/>
        </w:rPr>
        <w:t>a</w:t>
      </w:r>
    </w:p>
    <w:p w14:paraId="43528FB0" w14:textId="457F3937" w:rsidR="00A6431E" w:rsidRPr="00104E14" w:rsidRDefault="00C942A2" w:rsidP="00A6431E">
      <w:pPr>
        <w:jc w:val="center"/>
        <w:rPr>
          <w:b/>
        </w:rPr>
      </w:pPr>
      <w:r>
        <w:rPr>
          <w:b/>
        </w:rPr>
        <w:t>2</w:t>
      </w:r>
      <w:r w:rsidR="00854713">
        <w:rPr>
          <w:b/>
        </w:rPr>
        <w:t>5</w:t>
      </w:r>
      <w:r w:rsidR="0074601B">
        <w:rPr>
          <w:b/>
        </w:rPr>
        <w:t xml:space="preserve"> August </w:t>
      </w:r>
      <w:r w:rsidR="00A6431E" w:rsidRPr="00104E14">
        <w:rPr>
          <w:b/>
        </w:rPr>
        <w:t>2025</w:t>
      </w:r>
    </w:p>
    <w:p w14:paraId="515F2BF4" w14:textId="77777777" w:rsidR="00F853E2" w:rsidRDefault="00F853E2" w:rsidP="00DB14B9">
      <w:pPr>
        <w:rPr>
          <w:b/>
        </w:rPr>
      </w:pPr>
      <w:r>
        <w:rPr>
          <w:b/>
        </w:rPr>
        <w:t>Introduction</w:t>
      </w:r>
    </w:p>
    <w:p w14:paraId="116B1524" w14:textId="0C5FFAB3" w:rsidR="00EC34AF" w:rsidRDefault="00EC34AF" w:rsidP="00EC34AF">
      <w:r>
        <w:t xml:space="preserve">Space-based Earth Observations (EO) provide global, periodic data that give them a unique perspective of Earth. As a result, EO plays an essential role for understanding and monitoring biodiversity and for supporting decisions by the biodiversity and conservation communities. The value of EO is </w:t>
      </w:r>
      <w:r w:rsidR="00C942A2">
        <w:t>expected</w:t>
      </w:r>
      <w:r>
        <w:t xml:space="preserve"> to further increase a</w:t>
      </w:r>
      <w:r w:rsidRPr="00DE7A66">
        <w:t>s new sensors are deployed and as advances in science and technology enable the generation of innovative</w:t>
      </w:r>
      <w:r>
        <w:t xml:space="preserve"> and</w:t>
      </w:r>
      <w:r w:rsidRPr="00DE7A66">
        <w:t xml:space="preserve"> higher</w:t>
      </w:r>
      <w:r>
        <w:t xml:space="preserve"> </w:t>
      </w:r>
      <w:r w:rsidRPr="00DE7A66">
        <w:t>quality EO data products</w:t>
      </w:r>
      <w:r>
        <w:t xml:space="preserve"> (e.g., see the </w:t>
      </w:r>
      <w:hyperlink r:id="rId8" w:history="1">
        <w:r w:rsidR="00C942A2">
          <w:rPr>
            <w:rStyle w:val="Hyperlink"/>
          </w:rPr>
          <w:t>CEOS E</w:t>
        </w:r>
        <w:r w:rsidRPr="00CC7E2C">
          <w:rPr>
            <w:rStyle w:val="Hyperlink"/>
          </w:rPr>
          <w:t>cosystem Extent Task Team White Paper</w:t>
        </w:r>
      </w:hyperlink>
      <w:r>
        <w:t>)</w:t>
      </w:r>
      <w:r w:rsidRPr="00DE7A66">
        <w:t>.</w:t>
      </w:r>
      <w:r>
        <w:t xml:space="preserve"> EO-based products are needed and utilized by a range of key stakeholders, including international agreements such as the Convention on Biological Diversity (CBD), the Ramsar </w:t>
      </w:r>
      <w:r w:rsidR="00C942A2">
        <w:t>C</w:t>
      </w:r>
      <w:r>
        <w:t xml:space="preserve">onvention on </w:t>
      </w:r>
      <w:r w:rsidR="00C942A2">
        <w:t>W</w:t>
      </w:r>
      <w:r>
        <w:t>etlands</w:t>
      </w:r>
      <w:r w:rsidR="00C942A2">
        <w:t xml:space="preserve"> of International Importance</w:t>
      </w:r>
      <w:r>
        <w:t xml:space="preserve">, and the Convention to Combat Desertification, </w:t>
      </w:r>
      <w:r w:rsidR="00646637">
        <w:t>as well as</w:t>
      </w:r>
      <w:r>
        <w:t xml:space="preserve"> by governments at all levels.  </w:t>
      </w:r>
    </w:p>
    <w:p w14:paraId="08D8F73E" w14:textId="0276B1AA" w:rsidR="00EC34AF" w:rsidRDefault="00646637" w:rsidP="00035B88">
      <w:pPr>
        <w:autoSpaceDE w:val="0"/>
        <w:autoSpaceDN w:val="0"/>
        <w:adjustRightInd w:val="0"/>
        <w:spacing w:line="240" w:lineRule="auto"/>
      </w:pPr>
      <w:r>
        <w:t>Coordinating the i</w:t>
      </w:r>
      <w:r w:rsidR="00EC34AF" w:rsidRPr="00035B88">
        <w:t xml:space="preserve">nstruments, activities, and expertise </w:t>
      </w:r>
      <w:r>
        <w:t xml:space="preserve">provided by </w:t>
      </w:r>
      <w:r w:rsidR="00EC34AF" w:rsidRPr="00035B88">
        <w:t>multiple agencies can form a Virtual Constellation whose impact is greater than the sum of the individual efforts.</w:t>
      </w:r>
      <w:r w:rsidR="00035B88">
        <w:t xml:space="preserve"> </w:t>
      </w:r>
      <w:r>
        <w:t>With such coordination in mind, this</w:t>
      </w:r>
      <w:r w:rsidR="00035B88">
        <w:t xml:space="preserve"> Terms of Reference</w:t>
      </w:r>
      <w:r w:rsidR="00C942A2">
        <w:t xml:space="preserve"> document</w:t>
      </w:r>
      <w:r w:rsidR="00035B88">
        <w:t xml:space="preserve"> outlines the </w:t>
      </w:r>
      <w:r>
        <w:t>m</w:t>
      </w:r>
      <w:r w:rsidR="00035B88">
        <w:t xml:space="preserve">ission, </w:t>
      </w:r>
      <w:r>
        <w:t>o</w:t>
      </w:r>
      <w:r w:rsidR="00035B88">
        <w:t>bjectives</w:t>
      </w:r>
      <w:r>
        <w:t>, activities,</w:t>
      </w:r>
      <w:r w:rsidR="00035B88">
        <w:t xml:space="preserve"> and overall scope of the Biodiversity Virtual Constellation. </w:t>
      </w:r>
    </w:p>
    <w:p w14:paraId="66215CF4" w14:textId="05BBD6BC" w:rsidR="00D73CE8" w:rsidRDefault="00D73CE8" w:rsidP="00F01A06">
      <w:pPr>
        <w:spacing w:before="240"/>
      </w:pPr>
      <w:r w:rsidRPr="00104E14">
        <w:rPr>
          <w:b/>
        </w:rPr>
        <w:t xml:space="preserve">CONSTELLATION NAME: </w:t>
      </w:r>
      <w:r w:rsidR="00C942A2">
        <w:t xml:space="preserve">CEOS </w:t>
      </w:r>
      <w:r w:rsidRPr="00E079E3">
        <w:t>Biodiversity Virtual Constellation (B-VC)</w:t>
      </w:r>
    </w:p>
    <w:p w14:paraId="28F7E012" w14:textId="77777777" w:rsidR="00A6431E" w:rsidRPr="00104E14" w:rsidRDefault="000674E7">
      <w:pPr>
        <w:rPr>
          <w:b/>
        </w:rPr>
      </w:pPr>
      <w:r w:rsidRPr="00104E14">
        <w:rPr>
          <w:b/>
        </w:rPr>
        <w:t>MISSION STATEMENT</w:t>
      </w:r>
      <w:r w:rsidR="00E14D59">
        <w:rPr>
          <w:b/>
        </w:rPr>
        <w:t xml:space="preserve"> </w:t>
      </w:r>
      <w:r w:rsidRPr="00104E14">
        <w:rPr>
          <w:b/>
        </w:rPr>
        <w:t xml:space="preserve">AND OBJECTIVES: </w:t>
      </w:r>
    </w:p>
    <w:p w14:paraId="485BEDCD" w14:textId="3F4C572E" w:rsidR="00A45B96" w:rsidRDefault="00CD7A75" w:rsidP="00A45B96">
      <w:r w:rsidRPr="00CD7A75">
        <w:rPr>
          <w:b/>
        </w:rPr>
        <w:t xml:space="preserve">Mission Statement: </w:t>
      </w:r>
      <w:r w:rsidR="00A45B96">
        <w:t xml:space="preserve">The </w:t>
      </w:r>
      <w:r w:rsidR="00C942A2">
        <w:t xml:space="preserve">mission of the CEOS </w:t>
      </w:r>
      <w:r w:rsidR="00A45B96" w:rsidRPr="00F5750A">
        <w:t>Biodiversity Virtual Constellation</w:t>
      </w:r>
      <w:r w:rsidR="00A45B96">
        <w:t xml:space="preserve"> is to enhance utilization of space</w:t>
      </w:r>
      <w:r w:rsidR="002A26F6">
        <w:t>-based Earth observation</w:t>
      </w:r>
      <w:r w:rsidR="00A04C2A">
        <w:t>s</w:t>
      </w:r>
      <w:r w:rsidR="00A45B96">
        <w:t xml:space="preserve"> and data products to improve biodiversity understanding, monitoring, and </w:t>
      </w:r>
      <w:r w:rsidR="00087B6D">
        <w:t>conservation</w:t>
      </w:r>
      <w:r w:rsidR="00A45B96">
        <w:t xml:space="preserve"> for the benefit of society. </w:t>
      </w:r>
    </w:p>
    <w:p w14:paraId="741D9DF4" w14:textId="01A26248" w:rsidR="00A45B96" w:rsidRPr="00F5750A" w:rsidRDefault="00CC7E2C" w:rsidP="00A45B96">
      <w:r w:rsidRPr="0074601B">
        <w:t>Objectives:</w:t>
      </w:r>
      <w:r>
        <w:t xml:space="preserve"> T</w:t>
      </w:r>
      <w:r w:rsidR="00CD7A75">
        <w:t>he</w:t>
      </w:r>
      <w:r w:rsidR="00A45B96">
        <w:t xml:space="preserve"> B-VC has three inter-related objectives that </w:t>
      </w:r>
      <w:r w:rsidR="00925588">
        <w:t>form</w:t>
      </w:r>
      <w:r w:rsidR="00925588" w:rsidRPr="00F5750A">
        <w:t xml:space="preserve"> </w:t>
      </w:r>
      <w:r w:rsidR="00A45B96" w:rsidRPr="00F5750A">
        <w:t>the top</w:t>
      </w:r>
      <w:r w:rsidR="00A45B96">
        <w:t>-</w:t>
      </w:r>
      <w:r w:rsidR="00A45B96" w:rsidRPr="00F5750A">
        <w:t>level drivers</w:t>
      </w:r>
      <w:r w:rsidR="00A45B96">
        <w:t xml:space="preserve"> behind</w:t>
      </w:r>
      <w:r w:rsidR="00A45B96" w:rsidRPr="00F5750A">
        <w:t xml:space="preserve"> </w:t>
      </w:r>
      <w:r>
        <w:t xml:space="preserve">its </w:t>
      </w:r>
      <w:r w:rsidR="00A45B96" w:rsidRPr="00F5750A">
        <w:t>activities</w:t>
      </w:r>
      <w:r w:rsidR="00C13BD1">
        <w:t xml:space="preserve">. </w:t>
      </w:r>
    </w:p>
    <w:p w14:paraId="2F419559" w14:textId="6B2F59DB" w:rsidR="00A45B96" w:rsidRPr="00894E9C" w:rsidRDefault="0070056B" w:rsidP="00733ED7">
      <w:pPr>
        <w:pStyle w:val="ListParagraph"/>
        <w:numPr>
          <w:ilvl w:val="0"/>
          <w:numId w:val="8"/>
        </w:numPr>
      </w:pPr>
      <w:r w:rsidRPr="00035B88">
        <w:rPr>
          <w:b/>
          <w:bCs/>
        </w:rPr>
        <w:t>Maximize Impact</w:t>
      </w:r>
      <w:r>
        <w:t xml:space="preserve">: </w:t>
      </w:r>
      <w:r w:rsidR="00A45B96" w:rsidRPr="00894E9C">
        <w:t xml:space="preserve">Maximize the societal benefit of </w:t>
      </w:r>
      <w:r w:rsidR="00B12C44" w:rsidRPr="00894E9C">
        <w:t>space-based Earth observation</w:t>
      </w:r>
      <w:r w:rsidR="00A45B96" w:rsidRPr="00894E9C">
        <w:t xml:space="preserve"> and </w:t>
      </w:r>
      <w:r w:rsidR="00B12C44" w:rsidRPr="00894E9C">
        <w:t xml:space="preserve">derived </w:t>
      </w:r>
      <w:r w:rsidR="00A45B96" w:rsidRPr="00894E9C">
        <w:t>data products for biodiversity understanding, monitoring,</w:t>
      </w:r>
      <w:r w:rsidR="00FB1B7C">
        <w:t xml:space="preserve"> and conservation</w:t>
      </w:r>
      <w:r w:rsidR="00D30B62">
        <w:t>.</w:t>
      </w:r>
    </w:p>
    <w:p w14:paraId="0694DDE7" w14:textId="6A0EE236" w:rsidR="00A45B96" w:rsidRPr="00894E9C" w:rsidRDefault="0070056B" w:rsidP="00733ED7">
      <w:pPr>
        <w:pStyle w:val="ListParagraph"/>
        <w:numPr>
          <w:ilvl w:val="0"/>
          <w:numId w:val="8"/>
        </w:numPr>
      </w:pPr>
      <w:r w:rsidRPr="00035B88">
        <w:rPr>
          <w:b/>
          <w:bCs/>
        </w:rPr>
        <w:t>Engage Users</w:t>
      </w:r>
      <w:r>
        <w:t xml:space="preserve">: </w:t>
      </w:r>
      <w:r w:rsidR="009732FE" w:rsidRPr="00894E9C">
        <w:t xml:space="preserve">Maintain </w:t>
      </w:r>
      <w:r w:rsidR="00642008" w:rsidRPr="00894E9C">
        <w:t xml:space="preserve">active </w:t>
      </w:r>
      <w:r w:rsidR="00581A05">
        <w:t>dialogue</w:t>
      </w:r>
      <w:r w:rsidR="00581A05" w:rsidRPr="00894E9C">
        <w:t xml:space="preserve"> </w:t>
      </w:r>
      <w:r w:rsidR="00DC291B" w:rsidRPr="00894E9C">
        <w:t>with</w:t>
      </w:r>
      <w:r w:rsidR="00642008" w:rsidRPr="00894E9C">
        <w:t xml:space="preserve"> biodiversity stakeholders </w:t>
      </w:r>
      <w:r w:rsidR="000C3AA1" w:rsidRPr="00894E9C">
        <w:t>to ensure a</w:t>
      </w:r>
      <w:r w:rsidR="00A315FE" w:rsidRPr="00894E9C">
        <w:t xml:space="preserve"> continued understanding of </w:t>
      </w:r>
      <w:r w:rsidR="004E6C46" w:rsidRPr="00894E9C">
        <w:t xml:space="preserve">evolving </w:t>
      </w:r>
      <w:r w:rsidR="00A45B96" w:rsidRPr="00894E9C">
        <w:t xml:space="preserve">user needs for </w:t>
      </w:r>
      <w:r w:rsidR="008D5120" w:rsidRPr="00894E9C">
        <w:t>space</w:t>
      </w:r>
      <w:r w:rsidR="00A45B96" w:rsidRPr="00894E9C">
        <w:t xml:space="preserve">-based </w:t>
      </w:r>
      <w:r w:rsidR="008D5120" w:rsidRPr="00894E9C">
        <w:t xml:space="preserve">EO </w:t>
      </w:r>
      <w:r w:rsidR="00A45B96" w:rsidRPr="00894E9C">
        <w:t xml:space="preserve">biodiversity data products </w:t>
      </w:r>
      <w:r w:rsidR="0006753E" w:rsidRPr="00894E9C">
        <w:t xml:space="preserve">and </w:t>
      </w:r>
      <w:r w:rsidR="008D5120" w:rsidRPr="00894E9C">
        <w:t xml:space="preserve">to tailor activities </w:t>
      </w:r>
      <w:r w:rsidR="000F460D" w:rsidRPr="00894E9C">
        <w:t>accordingly</w:t>
      </w:r>
      <w:r w:rsidR="00D30B62">
        <w:t>.</w:t>
      </w:r>
    </w:p>
    <w:p w14:paraId="7662BD1A" w14:textId="352BECEF" w:rsidR="00A45B96" w:rsidRPr="00894E9C" w:rsidRDefault="0070056B" w:rsidP="00733ED7">
      <w:pPr>
        <w:pStyle w:val="ListParagraph"/>
        <w:numPr>
          <w:ilvl w:val="0"/>
          <w:numId w:val="8"/>
        </w:numPr>
        <w:spacing w:after="0"/>
      </w:pPr>
      <w:r w:rsidRPr="00035B88">
        <w:rPr>
          <w:b/>
          <w:bCs/>
        </w:rPr>
        <w:t>Foster Coherence</w:t>
      </w:r>
      <w:r>
        <w:t xml:space="preserve">: </w:t>
      </w:r>
      <w:r w:rsidR="00C942A2">
        <w:t>Facilitate</w:t>
      </w:r>
      <w:r w:rsidR="00E45B23" w:rsidRPr="00894E9C">
        <w:t xml:space="preserve"> </w:t>
      </w:r>
      <w:r w:rsidR="009C4505">
        <w:t>alignment</w:t>
      </w:r>
      <w:r w:rsidR="009C4505" w:rsidRPr="00894E9C">
        <w:t xml:space="preserve"> </w:t>
      </w:r>
      <w:r w:rsidR="001F7E43" w:rsidRPr="00894E9C">
        <w:t xml:space="preserve">and connectivity across </w:t>
      </w:r>
      <w:r w:rsidR="009C4505">
        <w:t xml:space="preserve">CEOS </w:t>
      </w:r>
      <w:r w:rsidR="00275F43">
        <w:t>Agenc</w:t>
      </w:r>
      <w:r w:rsidR="00C942A2">
        <w:t>y</w:t>
      </w:r>
      <w:r w:rsidR="00275F43">
        <w:t xml:space="preserve"> </w:t>
      </w:r>
      <w:r w:rsidR="00A45B96" w:rsidRPr="00894E9C">
        <w:t xml:space="preserve">missions, observations, data products, services, and </w:t>
      </w:r>
      <w:r w:rsidR="000B0564" w:rsidRPr="00894E9C">
        <w:t xml:space="preserve">related </w:t>
      </w:r>
      <w:r w:rsidR="00A45B96" w:rsidRPr="00894E9C">
        <w:t xml:space="preserve">activities, </w:t>
      </w:r>
      <w:r w:rsidR="00275F43">
        <w:t xml:space="preserve">as well as </w:t>
      </w:r>
      <w:r w:rsidR="001A5176">
        <w:t xml:space="preserve">with </w:t>
      </w:r>
      <w:r w:rsidR="00275F43">
        <w:t>the activities</w:t>
      </w:r>
      <w:r w:rsidR="00A45B96" w:rsidRPr="00894E9C">
        <w:t xml:space="preserve"> of </w:t>
      </w:r>
      <w:r w:rsidR="0089349D" w:rsidRPr="00894E9C">
        <w:t xml:space="preserve">other </w:t>
      </w:r>
      <w:r w:rsidR="00A45B96" w:rsidRPr="00894E9C">
        <w:t xml:space="preserve">CEOS </w:t>
      </w:r>
      <w:r w:rsidR="0089349D" w:rsidRPr="00894E9C">
        <w:t>entities</w:t>
      </w:r>
      <w:r w:rsidR="00D30B62">
        <w:t>.</w:t>
      </w:r>
    </w:p>
    <w:p w14:paraId="05D4A8F2" w14:textId="0C71E28E" w:rsidR="00A6431E" w:rsidRPr="00104E14" w:rsidRDefault="00A6431E" w:rsidP="004D220F">
      <w:pPr>
        <w:spacing w:before="240"/>
        <w:rPr>
          <w:b/>
        </w:rPr>
      </w:pPr>
      <w:r w:rsidRPr="00104E14">
        <w:rPr>
          <w:b/>
        </w:rPr>
        <w:t>CHARACTERISATION OF THE MEASUREMENTS AND DATA COLLECTIONS WITHIN SCOPE</w:t>
      </w:r>
      <w:r w:rsidR="000674E7" w:rsidRPr="00104E14">
        <w:rPr>
          <w:b/>
        </w:rPr>
        <w:t>:</w:t>
      </w:r>
    </w:p>
    <w:p w14:paraId="02FC3F73" w14:textId="423919E1" w:rsidR="008D4EC1" w:rsidRDefault="003A1428" w:rsidP="003A1428">
      <w:pPr>
        <w:spacing w:after="0"/>
      </w:pPr>
      <w:r>
        <w:t xml:space="preserve">Understanding and monitoring biodiversity requires measurements from a variety of types of </w:t>
      </w:r>
      <w:r w:rsidR="006B360D">
        <w:t>sources</w:t>
      </w:r>
      <w:r w:rsidR="00AC5070">
        <w:t>:</w:t>
      </w:r>
      <w:r w:rsidR="0042008F">
        <w:t xml:space="preserve"> on the ground</w:t>
      </w:r>
      <w:r w:rsidR="00CF0ADC">
        <w:t xml:space="preserve">, in the air </w:t>
      </w:r>
      <w:r w:rsidR="006B360D">
        <w:t>and/</w:t>
      </w:r>
      <w:r w:rsidR="00CF0ADC">
        <w:t xml:space="preserve">or in space. These measurements complement each other </w:t>
      </w:r>
      <w:r w:rsidR="006B360D">
        <w:t xml:space="preserve">and </w:t>
      </w:r>
      <w:r>
        <w:t xml:space="preserve">enhance </w:t>
      </w:r>
      <w:r w:rsidR="00CF0ADC">
        <w:t xml:space="preserve">our </w:t>
      </w:r>
      <w:r>
        <w:t>understanding</w:t>
      </w:r>
      <w:r w:rsidR="00CF0ADC">
        <w:t xml:space="preserve"> of the biosphere</w:t>
      </w:r>
      <w:r>
        <w:t xml:space="preserve">. </w:t>
      </w:r>
      <w:r w:rsidR="00502726">
        <w:t xml:space="preserve">Supporting the </w:t>
      </w:r>
      <w:r w:rsidR="002E5037">
        <w:t xml:space="preserve">biodiversity </w:t>
      </w:r>
      <w:r w:rsidR="00502726">
        <w:t xml:space="preserve">community </w:t>
      </w:r>
      <w:r w:rsidR="0015320E">
        <w:t xml:space="preserve">to better utilize </w:t>
      </w:r>
      <w:r w:rsidR="00374196">
        <w:t xml:space="preserve">the EO </w:t>
      </w:r>
      <w:r w:rsidR="00374196">
        <w:lastRenderedPageBreak/>
        <w:t xml:space="preserve">elements of </w:t>
      </w:r>
      <w:r w:rsidR="0015320E">
        <w:t xml:space="preserve">this </w:t>
      </w:r>
      <w:r w:rsidR="006B4684">
        <w:t>complex and divers</w:t>
      </w:r>
      <w:r w:rsidR="002E5037">
        <w:t>e</w:t>
      </w:r>
      <w:r w:rsidR="006B4684">
        <w:t xml:space="preserve"> data </w:t>
      </w:r>
      <w:r w:rsidR="002E5037">
        <w:t xml:space="preserve">landscape </w:t>
      </w:r>
      <w:r w:rsidR="00502726">
        <w:t>is one of the main</w:t>
      </w:r>
      <w:r w:rsidR="002E5037">
        <w:t xml:space="preserve"> objectives of the B-VC</w:t>
      </w:r>
      <w:r w:rsidR="00487C66">
        <w:t>, which will</w:t>
      </w:r>
      <w:r w:rsidR="00487C66" w:rsidRPr="00487C66">
        <w:t xml:space="preserve"> address biodiversity in terrestrial, freshwater, coastal and marine ecosystems.</w:t>
      </w:r>
    </w:p>
    <w:p w14:paraId="7485C9C2" w14:textId="5941B226" w:rsidR="00550D05" w:rsidRPr="002D5479" w:rsidRDefault="00A6431E" w:rsidP="00AF045A">
      <w:pPr>
        <w:spacing w:before="240"/>
        <w:rPr>
          <w:color w:val="C45911" w:themeColor="accent2" w:themeShade="BF"/>
        </w:rPr>
      </w:pPr>
      <w:r w:rsidRPr="00FC26E8">
        <w:rPr>
          <w:b/>
        </w:rPr>
        <w:t>CHARACTERISATION OF THE SPACE SEGMENT CONCERNED</w:t>
      </w:r>
      <w:r w:rsidR="000674E7" w:rsidRPr="00FC26E8">
        <w:rPr>
          <w:b/>
        </w:rPr>
        <w:t>:</w:t>
      </w:r>
      <w:r w:rsidR="00550D05">
        <w:rPr>
          <w:b/>
          <w:color w:val="FF0000"/>
        </w:rPr>
        <w:t xml:space="preserve"> </w:t>
      </w:r>
      <w:r w:rsidR="00550D05" w:rsidRPr="00FC26E8">
        <w:rPr>
          <w:b/>
          <w:color w:val="806000" w:themeColor="accent4" w:themeShade="80"/>
        </w:rPr>
        <w:t xml:space="preserve"> </w:t>
      </w:r>
    </w:p>
    <w:p w14:paraId="3756AC52" w14:textId="665EE147" w:rsidR="00344E91" w:rsidRDefault="00487C66" w:rsidP="00344E91">
      <w:pPr>
        <w:spacing w:line="240" w:lineRule="auto"/>
      </w:pPr>
      <w:r w:rsidRPr="00487C66">
        <w:t>Many space-based Earth observing instruments operated by CEOS Agencies can characterize the land surface and the marine environment, track their changes over time, and measure their organic and inorganic components. These capabilities, spanning both active and passive sensors, fall within the scope of the B-VC.</w:t>
      </w:r>
      <w:r w:rsidR="0042008F">
        <w:t xml:space="preserve"> </w:t>
      </w:r>
      <w:r w:rsidR="0093757B">
        <w:t>Observations from e</w:t>
      </w:r>
      <w:r w:rsidR="00820C90">
        <w:t xml:space="preserve">xisting missions </w:t>
      </w:r>
      <w:r w:rsidR="000379D2">
        <w:t xml:space="preserve">already have </w:t>
      </w:r>
      <w:r w:rsidR="00CB2E05">
        <w:t xml:space="preserve">proven </w:t>
      </w:r>
      <w:r w:rsidR="000379D2">
        <w:t>ability</w:t>
      </w:r>
      <w:r w:rsidR="0093757B">
        <w:t xml:space="preserve"> to </w:t>
      </w:r>
      <w:r w:rsidR="000379D2">
        <w:t xml:space="preserve">help </w:t>
      </w:r>
      <w:r w:rsidR="00820C90">
        <w:t>address many of the identified user needs</w:t>
      </w:r>
      <w:r w:rsidR="0065023B">
        <w:t>. H</w:t>
      </w:r>
      <w:r w:rsidR="0093757B">
        <w:t xml:space="preserve">owever, forthcoming </w:t>
      </w:r>
      <w:r w:rsidR="00577FD2">
        <w:t xml:space="preserve">CEOS </w:t>
      </w:r>
      <w:r w:rsidR="00820C90">
        <w:t xml:space="preserve">missions </w:t>
      </w:r>
      <w:r w:rsidR="00CB2E05">
        <w:t xml:space="preserve">should </w:t>
      </w:r>
      <w:r w:rsidR="00820C90">
        <w:t xml:space="preserve">greatly increase the degree to which these needs can be </w:t>
      </w:r>
      <w:r w:rsidR="00A067F7">
        <w:t>met,</w:t>
      </w:r>
      <w:r w:rsidR="00577FD2">
        <w:t xml:space="preserve"> and the role of the B-VC </w:t>
      </w:r>
      <w:r w:rsidR="0065023B">
        <w:t xml:space="preserve">is </w:t>
      </w:r>
      <w:r w:rsidR="00577FD2">
        <w:t>to track these developments</w:t>
      </w:r>
      <w:r w:rsidR="00820C90">
        <w:t>.</w:t>
      </w:r>
      <w:r w:rsidR="00DD0767" w:rsidDel="00FC660A">
        <w:t xml:space="preserve"> </w:t>
      </w:r>
    </w:p>
    <w:p w14:paraId="75207140" w14:textId="78A5A3DA" w:rsidR="00B854EF" w:rsidRDefault="00A6431E" w:rsidP="00B854EF">
      <w:r w:rsidRPr="00104E14">
        <w:rPr>
          <w:b/>
        </w:rPr>
        <w:t>ACTIVITIES, OUTCOMES, AND DELIVERABLES</w:t>
      </w:r>
      <w:r w:rsidR="000674E7" w:rsidRPr="00104E14">
        <w:rPr>
          <w:b/>
        </w:rPr>
        <w:t>:</w:t>
      </w:r>
    </w:p>
    <w:p w14:paraId="049B28D6" w14:textId="4426C0B3" w:rsidR="0064108D" w:rsidRPr="005B2CDD" w:rsidRDefault="00487C66" w:rsidP="00AF045A">
      <w:pPr>
        <w:pStyle w:val="ListParagraph"/>
        <w:keepNext/>
        <w:numPr>
          <w:ilvl w:val="0"/>
          <w:numId w:val="7"/>
        </w:numPr>
        <w:spacing w:before="240"/>
      </w:pPr>
      <w:r w:rsidRPr="00487C66">
        <w:t>Identify priority gaps in data pro</w:t>
      </w:r>
      <w:r w:rsidRPr="00B27EA2">
        <w:t xml:space="preserve">ducts </w:t>
      </w:r>
      <w:r w:rsidR="00B27EA2" w:rsidRPr="00B27EA2">
        <w:t>such as</w:t>
      </w:r>
      <w:r w:rsidR="001F066E" w:rsidRPr="00B27EA2">
        <w:t xml:space="preserve"> biodiversity indicators</w:t>
      </w:r>
      <w:r w:rsidRPr="00B27EA2">
        <w:t xml:space="preserve"> and f</w:t>
      </w:r>
      <w:r w:rsidRPr="00487C66">
        <w:t>acilitate development of solutions to fill critical gaps</w:t>
      </w:r>
      <w:r w:rsidRPr="00487C66">
        <w:rPr>
          <w:rStyle w:val="CommentReference"/>
          <w:sz w:val="22"/>
          <w:szCs w:val="22"/>
        </w:rPr>
        <w:t xml:space="preserve"> </w:t>
      </w:r>
    </w:p>
    <w:p w14:paraId="60F99E62" w14:textId="77777777" w:rsidR="00B44EF2" w:rsidRPr="005B2CDD" w:rsidRDefault="00B44EF2" w:rsidP="00B44EF2">
      <w:pPr>
        <w:pStyle w:val="ListParagraph"/>
        <w:numPr>
          <w:ilvl w:val="0"/>
          <w:numId w:val="7"/>
        </w:numPr>
        <w:spacing w:before="240"/>
      </w:pPr>
      <w:r w:rsidRPr="005B2CDD">
        <w:t xml:space="preserve">Facilitate enhancement of data </w:t>
      </w:r>
      <w:r>
        <w:t xml:space="preserve">processing and </w:t>
      </w:r>
      <w:r w:rsidRPr="005B2CDD">
        <w:t>utilization tools needed to increase utilization of EO for biodiversity applications</w:t>
      </w:r>
    </w:p>
    <w:p w14:paraId="50C27471" w14:textId="350D74B7" w:rsidR="00B563E2" w:rsidRPr="005B2CDD" w:rsidRDefault="009B6A6C" w:rsidP="00AF045A">
      <w:pPr>
        <w:pStyle w:val="ListParagraph"/>
        <w:keepNext/>
        <w:numPr>
          <w:ilvl w:val="0"/>
          <w:numId w:val="7"/>
        </w:numPr>
        <w:spacing w:before="240"/>
      </w:pPr>
      <w:r>
        <w:t>E</w:t>
      </w:r>
      <w:r w:rsidR="005B2CDD">
        <w:t>nhanc</w:t>
      </w:r>
      <w:r>
        <w:t>e</w:t>
      </w:r>
      <w:r w:rsidR="005B2CDD">
        <w:t xml:space="preserve"> </w:t>
      </w:r>
      <w:r w:rsidR="007E7A2C" w:rsidRPr="005B2CDD">
        <w:t xml:space="preserve">existing </w:t>
      </w:r>
      <w:r w:rsidR="00B854EF">
        <w:t xml:space="preserve">CEOS </w:t>
      </w:r>
      <w:r w:rsidR="00FA3413">
        <w:t xml:space="preserve">biodiversity </w:t>
      </w:r>
      <w:r w:rsidR="00F261EB">
        <w:t>d</w:t>
      </w:r>
      <w:r w:rsidR="007E7A2C" w:rsidRPr="005B2CDD">
        <w:t>emonstrators</w:t>
      </w:r>
      <w:r w:rsidR="00AB6B63">
        <w:t>,</w:t>
      </w:r>
      <w:r w:rsidR="005B2CDD">
        <w:t xml:space="preserve"> </w:t>
      </w:r>
      <w:r w:rsidR="00AB6B63">
        <w:t xml:space="preserve">and explore possibilities for new ones, </w:t>
      </w:r>
      <w:r>
        <w:t xml:space="preserve">to </w:t>
      </w:r>
      <w:r w:rsidR="00644486">
        <w:t xml:space="preserve">provide </w:t>
      </w:r>
      <w:r w:rsidR="00A067F7">
        <w:t xml:space="preserve">useful </w:t>
      </w:r>
      <w:r w:rsidR="00644486">
        <w:t>exemplar</w:t>
      </w:r>
      <w:r w:rsidR="00F261EB">
        <w:t>s</w:t>
      </w:r>
      <w:r w:rsidR="00043A35">
        <w:t xml:space="preserve"> and facilitate development and testing of needed </w:t>
      </w:r>
      <w:r w:rsidR="002A11AE">
        <w:t xml:space="preserve">EO </w:t>
      </w:r>
      <w:r w:rsidR="00043A35">
        <w:t>capabilities</w:t>
      </w:r>
    </w:p>
    <w:p w14:paraId="3805CF4D" w14:textId="634A7998" w:rsidR="007E3364" w:rsidRPr="005B2CDD" w:rsidRDefault="00FC6903" w:rsidP="0064108D">
      <w:pPr>
        <w:pStyle w:val="ListParagraph"/>
        <w:numPr>
          <w:ilvl w:val="0"/>
          <w:numId w:val="7"/>
        </w:numPr>
        <w:spacing w:before="240"/>
      </w:pPr>
      <w:r>
        <w:t>P</w:t>
      </w:r>
      <w:r w:rsidR="007E3364" w:rsidRPr="005B2CDD">
        <w:t>rioritize and implement capacity building</w:t>
      </w:r>
      <w:r>
        <w:t xml:space="preserve"> </w:t>
      </w:r>
      <w:r w:rsidR="00621C7F">
        <w:t xml:space="preserve">initiatives </w:t>
      </w:r>
      <w:r>
        <w:t>through close collaboration with CEOS WGCapD</w:t>
      </w:r>
    </w:p>
    <w:p w14:paraId="146B725E" w14:textId="66598F3A" w:rsidR="00E51524" w:rsidRDefault="006A2DB3" w:rsidP="00E51524">
      <w:pPr>
        <w:pStyle w:val="ListParagraph"/>
        <w:numPr>
          <w:ilvl w:val="0"/>
          <w:numId w:val="7"/>
        </w:numPr>
        <w:spacing w:before="240"/>
      </w:pPr>
      <w:r>
        <w:t xml:space="preserve">Actively </w:t>
      </w:r>
      <w:r w:rsidR="00F559D5">
        <w:t xml:space="preserve">seek to </w:t>
      </w:r>
      <w:r>
        <w:t>increase b</w:t>
      </w:r>
      <w:r w:rsidR="0064108D" w:rsidRPr="005B2CDD">
        <w:t>iodiversity community engagement</w:t>
      </w:r>
      <w:r>
        <w:t xml:space="preserve"> with EO and its applications for biodiversity </w:t>
      </w:r>
      <w:r w:rsidR="00AF045A">
        <w:t xml:space="preserve">understanding, </w:t>
      </w:r>
      <w:r>
        <w:t>monitoring</w:t>
      </w:r>
      <w:r w:rsidR="00AF045A">
        <w:t>,</w:t>
      </w:r>
      <w:r>
        <w:t xml:space="preserve"> and</w:t>
      </w:r>
      <w:r w:rsidR="00AF045A">
        <w:t xml:space="preserve"> conservation</w:t>
      </w:r>
    </w:p>
    <w:p w14:paraId="1B66D9C9" w14:textId="51C1E948" w:rsidR="0064108D" w:rsidRDefault="0006753E" w:rsidP="0065023B">
      <w:pPr>
        <w:pStyle w:val="ListParagraph"/>
        <w:numPr>
          <w:ilvl w:val="0"/>
          <w:numId w:val="7"/>
        </w:numPr>
        <w:spacing w:before="240" w:after="0"/>
      </w:pPr>
      <w:r w:rsidRPr="000E1F15">
        <w:t xml:space="preserve">Coordinate with </w:t>
      </w:r>
      <w:r w:rsidR="006A2DB3" w:rsidRPr="000E1F15">
        <w:t>GEO BON a</w:t>
      </w:r>
      <w:r w:rsidR="006A2DB3">
        <w:t xml:space="preserve">nd its Global Biodiversity Observing System </w:t>
      </w:r>
      <w:r w:rsidR="00152E8E">
        <w:t xml:space="preserve">(GBiOS) </w:t>
      </w:r>
      <w:r w:rsidR="006A2DB3">
        <w:t xml:space="preserve">concept </w:t>
      </w:r>
      <w:r w:rsidR="006A2DB3" w:rsidRPr="005B2CDD">
        <w:t xml:space="preserve">to facilitate </w:t>
      </w:r>
      <w:r w:rsidR="00152E8E">
        <w:t xml:space="preserve">the wider use </w:t>
      </w:r>
      <w:r w:rsidR="006A2DB3" w:rsidRPr="005B2CDD">
        <w:t xml:space="preserve">of </w:t>
      </w:r>
      <w:r w:rsidR="00152E8E">
        <w:t xml:space="preserve">space-based </w:t>
      </w:r>
      <w:r w:rsidR="006A2DB3" w:rsidRPr="005B2CDD">
        <w:t>EO</w:t>
      </w:r>
    </w:p>
    <w:p w14:paraId="171F4C4C" w14:textId="77777777" w:rsidR="0065023B" w:rsidRPr="00E51524" w:rsidRDefault="0065023B" w:rsidP="0065023B">
      <w:pPr>
        <w:pStyle w:val="ListParagraph"/>
        <w:spacing w:before="240" w:after="0"/>
        <w:ind w:left="360"/>
      </w:pPr>
    </w:p>
    <w:tbl>
      <w:tblPr>
        <w:tblStyle w:val="TableGrid"/>
        <w:tblW w:w="0" w:type="auto"/>
        <w:tblLook w:val="04A0" w:firstRow="1" w:lastRow="0" w:firstColumn="1" w:lastColumn="0" w:noHBand="0" w:noVBand="1"/>
      </w:tblPr>
      <w:tblGrid>
        <w:gridCol w:w="2155"/>
        <w:gridCol w:w="3600"/>
        <w:gridCol w:w="3595"/>
      </w:tblGrid>
      <w:tr w:rsidR="00F60C48" w14:paraId="7A7570E5" w14:textId="77777777" w:rsidTr="00687C1B">
        <w:tc>
          <w:tcPr>
            <w:tcW w:w="2155" w:type="dxa"/>
            <w:shd w:val="clear" w:color="auto" w:fill="B4C6E7" w:themeFill="accent1" w:themeFillTint="66"/>
          </w:tcPr>
          <w:p w14:paraId="31C0776B" w14:textId="77777777" w:rsidR="00F60C48" w:rsidRPr="00E67FB9" w:rsidRDefault="00F60C48">
            <w:pPr>
              <w:rPr>
                <w:b/>
              </w:rPr>
            </w:pPr>
          </w:p>
        </w:tc>
        <w:tc>
          <w:tcPr>
            <w:tcW w:w="3600" w:type="dxa"/>
            <w:shd w:val="clear" w:color="auto" w:fill="B4C6E7" w:themeFill="accent1" w:themeFillTint="66"/>
          </w:tcPr>
          <w:p w14:paraId="3FB20236" w14:textId="77777777" w:rsidR="00F60C48" w:rsidRPr="00E67FB9" w:rsidRDefault="00F60C48">
            <w:pPr>
              <w:rPr>
                <w:b/>
              </w:rPr>
            </w:pPr>
            <w:r w:rsidRPr="00E67FB9">
              <w:rPr>
                <w:b/>
              </w:rPr>
              <w:t>3-year horizon</w:t>
            </w:r>
          </w:p>
        </w:tc>
        <w:tc>
          <w:tcPr>
            <w:tcW w:w="3595" w:type="dxa"/>
            <w:shd w:val="clear" w:color="auto" w:fill="B4C6E7" w:themeFill="accent1" w:themeFillTint="66"/>
          </w:tcPr>
          <w:p w14:paraId="2B0BB041" w14:textId="77777777" w:rsidR="00F60C48" w:rsidRPr="00E67FB9" w:rsidRDefault="00F60C48">
            <w:pPr>
              <w:rPr>
                <w:b/>
              </w:rPr>
            </w:pPr>
            <w:r w:rsidRPr="00E67FB9">
              <w:rPr>
                <w:b/>
              </w:rPr>
              <w:t>5-years or more horizon</w:t>
            </w:r>
          </w:p>
        </w:tc>
      </w:tr>
      <w:tr w:rsidR="00F60C48" w14:paraId="0F70C03A" w14:textId="77777777" w:rsidTr="00687C1B">
        <w:tc>
          <w:tcPr>
            <w:tcW w:w="2155" w:type="dxa"/>
            <w:shd w:val="clear" w:color="auto" w:fill="B4C6E7" w:themeFill="accent1" w:themeFillTint="66"/>
          </w:tcPr>
          <w:p w14:paraId="067905BE" w14:textId="77777777" w:rsidR="00F60C48" w:rsidRPr="00E67FB9" w:rsidRDefault="00F60C48">
            <w:pPr>
              <w:rPr>
                <w:b/>
              </w:rPr>
            </w:pPr>
            <w:r w:rsidRPr="00E67FB9">
              <w:rPr>
                <w:b/>
              </w:rPr>
              <w:t>Space Segment</w:t>
            </w:r>
          </w:p>
        </w:tc>
        <w:tc>
          <w:tcPr>
            <w:tcW w:w="3600" w:type="dxa"/>
          </w:tcPr>
          <w:p w14:paraId="6BDE09EF" w14:textId="77777777" w:rsidR="00F60C48" w:rsidRDefault="00367C6A" w:rsidP="00367C6A">
            <w:pPr>
              <w:pStyle w:val="ListParagraph"/>
              <w:numPr>
                <w:ilvl w:val="0"/>
                <w:numId w:val="3"/>
              </w:numPr>
              <w:ind w:left="190" w:hanging="180"/>
            </w:pPr>
            <w:r>
              <w:t>Develop plan to utilize forthcoming hyperspectral, L-band, and Lidar missions</w:t>
            </w:r>
          </w:p>
        </w:tc>
        <w:tc>
          <w:tcPr>
            <w:tcW w:w="3595" w:type="dxa"/>
          </w:tcPr>
          <w:p w14:paraId="403013B4" w14:textId="77777777" w:rsidR="00F60C48" w:rsidRDefault="00FD1B72" w:rsidP="00367C6A">
            <w:pPr>
              <w:pStyle w:val="ListParagraph"/>
              <w:numPr>
                <w:ilvl w:val="0"/>
                <w:numId w:val="3"/>
              </w:numPr>
              <w:ind w:left="190" w:hanging="180"/>
            </w:pPr>
            <w:r>
              <w:t>Update plans based on emerging experience</w:t>
            </w:r>
          </w:p>
        </w:tc>
      </w:tr>
      <w:tr w:rsidR="00F60C48" w14:paraId="0ED10409" w14:textId="77777777" w:rsidTr="00687C1B">
        <w:tc>
          <w:tcPr>
            <w:tcW w:w="2155" w:type="dxa"/>
            <w:shd w:val="clear" w:color="auto" w:fill="B4C6E7" w:themeFill="accent1" w:themeFillTint="66"/>
          </w:tcPr>
          <w:p w14:paraId="738B30C2" w14:textId="77777777" w:rsidR="00F60C48" w:rsidRPr="00E67FB9" w:rsidRDefault="00F60C48">
            <w:pPr>
              <w:rPr>
                <w:b/>
              </w:rPr>
            </w:pPr>
            <w:r w:rsidRPr="00E67FB9">
              <w:rPr>
                <w:b/>
              </w:rPr>
              <w:t>Ground Segment &amp; Information Systems</w:t>
            </w:r>
          </w:p>
        </w:tc>
        <w:tc>
          <w:tcPr>
            <w:tcW w:w="3600" w:type="dxa"/>
          </w:tcPr>
          <w:p w14:paraId="1EC0EA8C" w14:textId="77777777" w:rsidR="00687C1B" w:rsidRDefault="002B3950" w:rsidP="00687C1B">
            <w:pPr>
              <w:pStyle w:val="ListParagraph"/>
              <w:numPr>
                <w:ilvl w:val="0"/>
                <w:numId w:val="3"/>
              </w:numPr>
              <w:ind w:left="190" w:hanging="180"/>
            </w:pPr>
            <w:r>
              <w:t>Identify</w:t>
            </w:r>
            <w:r w:rsidR="00AF045A">
              <w:t xml:space="preserve"> and facilitate filling </w:t>
            </w:r>
            <w:r w:rsidR="000460F4">
              <w:t>priority d</w:t>
            </w:r>
            <w:r w:rsidR="008D53A3">
              <w:t>ata p</w:t>
            </w:r>
            <w:r w:rsidR="00367C6A">
              <w:t xml:space="preserve">roduct </w:t>
            </w:r>
            <w:r w:rsidR="000460F4">
              <w:t>gaps</w:t>
            </w:r>
          </w:p>
          <w:p w14:paraId="3DDA6B74" w14:textId="55AD2745" w:rsidR="008B6E3F" w:rsidRDefault="008B6E3F" w:rsidP="00687C1B">
            <w:pPr>
              <w:pStyle w:val="ListParagraph"/>
              <w:numPr>
                <w:ilvl w:val="0"/>
                <w:numId w:val="3"/>
              </w:numPr>
              <w:ind w:left="190" w:hanging="180"/>
            </w:pPr>
            <w:r>
              <w:t>Coordinate with GEO BON and GBiOS concept development</w:t>
            </w:r>
          </w:p>
        </w:tc>
        <w:tc>
          <w:tcPr>
            <w:tcW w:w="3595" w:type="dxa"/>
          </w:tcPr>
          <w:p w14:paraId="192428D2" w14:textId="76B9360D" w:rsidR="00F60C48" w:rsidRDefault="0065023B" w:rsidP="008B6E3F">
            <w:pPr>
              <w:pStyle w:val="ListParagraph"/>
              <w:numPr>
                <w:ilvl w:val="0"/>
                <w:numId w:val="3"/>
              </w:numPr>
              <w:ind w:left="190" w:hanging="180"/>
            </w:pPr>
            <w:r>
              <w:t>Address</w:t>
            </w:r>
            <w:r w:rsidR="002B3950">
              <w:t xml:space="preserve"> </w:t>
            </w:r>
            <w:r w:rsidR="002E7CD7">
              <w:t xml:space="preserve">additional </w:t>
            </w:r>
            <w:r w:rsidR="002B3950">
              <w:t>data product gaps</w:t>
            </w:r>
          </w:p>
          <w:p w14:paraId="15704342" w14:textId="3360C28D" w:rsidR="008B6E3F" w:rsidRDefault="008B6E3F" w:rsidP="008B6E3F">
            <w:pPr>
              <w:pStyle w:val="ListParagraph"/>
              <w:numPr>
                <w:ilvl w:val="0"/>
                <w:numId w:val="3"/>
              </w:numPr>
              <w:ind w:left="190" w:hanging="180"/>
            </w:pPr>
            <w:r>
              <w:t>Guide GEO BON as it implements GBiOS</w:t>
            </w:r>
          </w:p>
        </w:tc>
      </w:tr>
      <w:tr w:rsidR="00F60C48" w14:paraId="7DC92B72" w14:textId="77777777" w:rsidTr="00687C1B">
        <w:tc>
          <w:tcPr>
            <w:tcW w:w="2155" w:type="dxa"/>
            <w:shd w:val="clear" w:color="auto" w:fill="B4C6E7" w:themeFill="accent1" w:themeFillTint="66"/>
          </w:tcPr>
          <w:p w14:paraId="03948492" w14:textId="77777777" w:rsidR="00F60C48" w:rsidRPr="00E67FB9" w:rsidRDefault="00F60C48">
            <w:pPr>
              <w:rPr>
                <w:b/>
              </w:rPr>
            </w:pPr>
            <w:r w:rsidRPr="00E67FB9">
              <w:rPr>
                <w:b/>
              </w:rPr>
              <w:t>Products and Services</w:t>
            </w:r>
          </w:p>
        </w:tc>
        <w:tc>
          <w:tcPr>
            <w:tcW w:w="3600" w:type="dxa"/>
          </w:tcPr>
          <w:p w14:paraId="73AE8A76" w14:textId="56433CE0" w:rsidR="00367C6A" w:rsidRDefault="00285741" w:rsidP="00687C1B">
            <w:pPr>
              <w:pStyle w:val="ListParagraph"/>
              <w:numPr>
                <w:ilvl w:val="0"/>
                <w:numId w:val="3"/>
              </w:numPr>
              <w:ind w:left="190" w:hanging="180"/>
            </w:pPr>
            <w:r>
              <w:t>Facilitate e</w:t>
            </w:r>
            <w:r w:rsidR="002B3950">
              <w:t>nhance</w:t>
            </w:r>
            <w:r>
              <w:t xml:space="preserve">ment </w:t>
            </w:r>
            <w:r w:rsidR="002B3950">
              <w:t>of e</w:t>
            </w:r>
            <w:r w:rsidR="000460F4">
              <w:t>nd user u</w:t>
            </w:r>
            <w:r w:rsidR="00367C6A">
              <w:t>tilization tool</w:t>
            </w:r>
            <w:r w:rsidR="008D53A3">
              <w:t>s</w:t>
            </w:r>
            <w:r w:rsidR="002B3950">
              <w:t xml:space="preserve"> </w:t>
            </w:r>
          </w:p>
          <w:p w14:paraId="0A02BE44" w14:textId="77777777" w:rsidR="00687C1B" w:rsidRDefault="000460F4" w:rsidP="00687C1B">
            <w:pPr>
              <w:pStyle w:val="ListParagraph"/>
              <w:numPr>
                <w:ilvl w:val="0"/>
                <w:numId w:val="3"/>
              </w:numPr>
              <w:ind w:left="190" w:hanging="180"/>
            </w:pPr>
            <w:r>
              <w:t>Engage with the b</w:t>
            </w:r>
            <w:r w:rsidR="00367C6A">
              <w:t xml:space="preserve">iodiversity community </w:t>
            </w:r>
          </w:p>
        </w:tc>
        <w:tc>
          <w:tcPr>
            <w:tcW w:w="3595" w:type="dxa"/>
          </w:tcPr>
          <w:p w14:paraId="2649F1AC" w14:textId="77777777" w:rsidR="00F60C48" w:rsidRDefault="00367C6A" w:rsidP="00367C6A">
            <w:pPr>
              <w:pStyle w:val="ListParagraph"/>
              <w:numPr>
                <w:ilvl w:val="0"/>
                <w:numId w:val="3"/>
              </w:numPr>
              <w:ind w:left="190" w:hanging="180"/>
            </w:pPr>
            <w:r>
              <w:t>Ongoing tool enhancement and community engagement</w:t>
            </w:r>
          </w:p>
        </w:tc>
      </w:tr>
    </w:tbl>
    <w:p w14:paraId="4A4C12DA" w14:textId="77777777" w:rsidR="00A6431E" w:rsidRPr="00104E14" w:rsidRDefault="00A6431E" w:rsidP="00CC668C">
      <w:pPr>
        <w:spacing w:before="240"/>
        <w:rPr>
          <w:b/>
        </w:rPr>
      </w:pPr>
      <w:r w:rsidRPr="00104E14">
        <w:rPr>
          <w:b/>
        </w:rPr>
        <w:t>IMPLEMENTATION AND COORDINATION ISSUES TO BE ADDRESSED BY SIT</w:t>
      </w:r>
      <w:r w:rsidR="000674E7" w:rsidRPr="00104E14">
        <w:rPr>
          <w:b/>
        </w:rPr>
        <w:t>:</w:t>
      </w:r>
    </w:p>
    <w:p w14:paraId="637C0105" w14:textId="2352099E" w:rsidR="00A951CB" w:rsidRDefault="000B0027" w:rsidP="002D5479">
      <w:pPr>
        <w:tabs>
          <w:tab w:val="left" w:pos="1778"/>
        </w:tabs>
        <w:spacing w:after="0"/>
      </w:pPr>
      <w:r>
        <w:t>A</w:t>
      </w:r>
      <w:r w:rsidR="00DD3EBA">
        <w:t xml:space="preserve">chievement of </w:t>
      </w:r>
      <w:r>
        <w:t>B</w:t>
      </w:r>
      <w:r w:rsidR="00DD3EBA">
        <w:t xml:space="preserve">-VC objectives </w:t>
      </w:r>
      <w:r w:rsidR="00046228">
        <w:t xml:space="preserve">will benefit </w:t>
      </w:r>
      <w:r w:rsidR="009D2781">
        <w:t xml:space="preserve">from </w:t>
      </w:r>
      <w:r w:rsidR="0065023B">
        <w:t>CEOS leadership’s</w:t>
      </w:r>
      <w:r w:rsidR="009D2781">
        <w:t xml:space="preserve"> attention to the following </w:t>
      </w:r>
      <w:r w:rsidR="00DD3EBA">
        <w:t>implementation and coordination issues:</w:t>
      </w:r>
      <w:r>
        <w:t xml:space="preserve"> </w:t>
      </w:r>
    </w:p>
    <w:p w14:paraId="27401621" w14:textId="411E275E" w:rsidR="0024130D" w:rsidRDefault="0024130D" w:rsidP="001B029E">
      <w:pPr>
        <w:pStyle w:val="ListParagraph"/>
        <w:numPr>
          <w:ilvl w:val="0"/>
          <w:numId w:val="13"/>
        </w:numPr>
        <w:tabs>
          <w:tab w:val="left" w:pos="1778"/>
        </w:tabs>
      </w:pPr>
      <w:r>
        <w:t xml:space="preserve">CEOS </w:t>
      </w:r>
      <w:r w:rsidR="00174273">
        <w:t>A</w:t>
      </w:r>
      <w:r>
        <w:t xml:space="preserve">gency </w:t>
      </w:r>
      <w:r w:rsidR="005C320D">
        <w:t xml:space="preserve">participation in and </w:t>
      </w:r>
      <w:r>
        <w:t xml:space="preserve">support for B-VC membership and leadership </w:t>
      </w:r>
    </w:p>
    <w:p w14:paraId="609DA662" w14:textId="5D8F3DFF" w:rsidR="002D5479" w:rsidRDefault="002D5479" w:rsidP="001B029E">
      <w:pPr>
        <w:pStyle w:val="ListParagraph"/>
        <w:numPr>
          <w:ilvl w:val="0"/>
          <w:numId w:val="13"/>
        </w:numPr>
        <w:tabs>
          <w:tab w:val="left" w:pos="1778"/>
        </w:tabs>
      </w:pPr>
      <w:r>
        <w:t xml:space="preserve">CEOS </w:t>
      </w:r>
      <w:r w:rsidR="00174273">
        <w:t>A</w:t>
      </w:r>
      <w:r>
        <w:t xml:space="preserve">gency support for development of </w:t>
      </w:r>
      <w:r w:rsidR="00174273">
        <w:t>new</w:t>
      </w:r>
      <w:r w:rsidR="009003BB">
        <w:t xml:space="preserve"> or </w:t>
      </w:r>
      <w:r w:rsidR="00174273">
        <w:t xml:space="preserve">enhanced </w:t>
      </w:r>
      <w:r>
        <w:t>product algorithms</w:t>
      </w:r>
    </w:p>
    <w:p w14:paraId="1B04F8DC" w14:textId="0EA101DE" w:rsidR="002D5479" w:rsidRDefault="002D5479" w:rsidP="001B029E">
      <w:pPr>
        <w:pStyle w:val="ListParagraph"/>
        <w:numPr>
          <w:ilvl w:val="0"/>
          <w:numId w:val="13"/>
        </w:numPr>
        <w:tabs>
          <w:tab w:val="left" w:pos="1778"/>
        </w:tabs>
      </w:pPr>
      <w:r>
        <w:t xml:space="preserve">CEOS </w:t>
      </w:r>
      <w:r w:rsidR="00174273">
        <w:t>A</w:t>
      </w:r>
      <w:r>
        <w:t xml:space="preserve">gency participation </w:t>
      </w:r>
      <w:r w:rsidR="005C320D">
        <w:t>in and support for</w:t>
      </w:r>
      <w:r>
        <w:t xml:space="preserve"> generation of biodiversity data products</w:t>
      </w:r>
    </w:p>
    <w:p w14:paraId="28CBE20C" w14:textId="51D14BD5" w:rsidR="002D5479" w:rsidRDefault="002D5479" w:rsidP="001B029E">
      <w:pPr>
        <w:pStyle w:val="ListParagraph"/>
        <w:numPr>
          <w:ilvl w:val="0"/>
          <w:numId w:val="13"/>
        </w:numPr>
        <w:tabs>
          <w:tab w:val="left" w:pos="1778"/>
        </w:tabs>
      </w:pPr>
      <w:r>
        <w:lastRenderedPageBreak/>
        <w:t xml:space="preserve">CEOS </w:t>
      </w:r>
      <w:r w:rsidR="00174273">
        <w:t>A</w:t>
      </w:r>
      <w:r>
        <w:t>gency support for demonstrator development activities</w:t>
      </w:r>
    </w:p>
    <w:p w14:paraId="30AB9CD5" w14:textId="2EC205E7" w:rsidR="00F14986" w:rsidRDefault="0065023B" w:rsidP="001B029E">
      <w:pPr>
        <w:pStyle w:val="ListParagraph"/>
        <w:numPr>
          <w:ilvl w:val="0"/>
          <w:numId w:val="13"/>
        </w:numPr>
        <w:tabs>
          <w:tab w:val="left" w:pos="1778"/>
        </w:tabs>
      </w:pPr>
      <w:r>
        <w:t>Increased a</w:t>
      </w:r>
      <w:r w:rsidR="00F14986">
        <w:t>doption by CEOS agencies of recommended data product standards</w:t>
      </w:r>
      <w:r w:rsidR="00D554E9">
        <w:t xml:space="preserve"> and </w:t>
      </w:r>
      <w:r w:rsidR="0024130D">
        <w:t>other recommendations</w:t>
      </w:r>
      <w:r w:rsidR="001B029E">
        <w:t xml:space="preserve"> </w:t>
      </w:r>
    </w:p>
    <w:p w14:paraId="1A993164" w14:textId="3F1E437A" w:rsidR="00804D9C" w:rsidRDefault="0000448A" w:rsidP="00BE46E4">
      <w:pPr>
        <w:rPr>
          <w:b/>
        </w:rPr>
      </w:pPr>
      <w:r>
        <w:rPr>
          <w:b/>
        </w:rPr>
        <w:t>SCHEDULE:</w:t>
      </w:r>
    </w:p>
    <w:p w14:paraId="6596E420" w14:textId="0434461D" w:rsidR="00D30A08" w:rsidRDefault="00F10586" w:rsidP="00F10586">
      <w:pPr>
        <w:tabs>
          <w:tab w:val="left" w:pos="1778"/>
        </w:tabs>
        <w:spacing w:after="0"/>
      </w:pPr>
      <w:r>
        <w:t>The proposed schedule for the B-VC activities</w:t>
      </w:r>
      <w:r w:rsidR="0065023B">
        <w:t xml:space="preserve"> is as</w:t>
      </w:r>
      <w:r>
        <w:t xml:space="preserve"> follows, recognizing that </w:t>
      </w:r>
      <w:r w:rsidR="00A75220">
        <w:t>the</w:t>
      </w:r>
      <w:r w:rsidR="00181C59">
        <w:t xml:space="preserve"> </w:t>
      </w:r>
      <w:r w:rsidR="007F254F">
        <w:t xml:space="preserve">detail </w:t>
      </w:r>
      <w:r w:rsidR="00181C59">
        <w:t>and timeframe may evolve</w:t>
      </w:r>
      <w:r w:rsidR="003A69B5">
        <w:t xml:space="preserve"> </w:t>
      </w:r>
      <w:r w:rsidR="007F254F">
        <w:t xml:space="preserve">over time </w:t>
      </w:r>
      <w:r w:rsidR="003A69B5">
        <w:t>in accordance with CEOS Agency priorities and stakeholder needs</w:t>
      </w:r>
      <w:r>
        <w:t>:</w:t>
      </w:r>
    </w:p>
    <w:p w14:paraId="7F7EF3CF" w14:textId="77777777" w:rsidR="00F10586" w:rsidRPr="00D30A08" w:rsidRDefault="00F10586" w:rsidP="00344E91">
      <w:pPr>
        <w:tabs>
          <w:tab w:val="left" w:pos="1778"/>
        </w:tabs>
        <w:spacing w:after="0"/>
      </w:pPr>
    </w:p>
    <w:tbl>
      <w:tblPr>
        <w:tblStyle w:val="TableGrid"/>
        <w:tblW w:w="8910" w:type="dxa"/>
        <w:tblInd w:w="31" w:type="dxa"/>
        <w:tblLook w:val="04A0" w:firstRow="1" w:lastRow="0" w:firstColumn="1" w:lastColumn="0" w:noHBand="0" w:noVBand="1"/>
      </w:tblPr>
      <w:tblGrid>
        <w:gridCol w:w="1512"/>
        <w:gridCol w:w="5958"/>
        <w:gridCol w:w="1440"/>
      </w:tblGrid>
      <w:tr w:rsidR="00B322AC" w:rsidRPr="00776D4A" w14:paraId="32D474C3" w14:textId="77777777" w:rsidTr="00F1086C">
        <w:trPr>
          <w:tblHeader/>
        </w:trPr>
        <w:tc>
          <w:tcPr>
            <w:tcW w:w="1512" w:type="dxa"/>
          </w:tcPr>
          <w:p w14:paraId="1D5ABE69" w14:textId="77777777" w:rsidR="00B322AC" w:rsidRPr="00776D4A" w:rsidRDefault="00B322AC" w:rsidP="00F1086C">
            <w:pPr>
              <w:ind w:left="-18"/>
              <w:jc w:val="center"/>
              <w:rPr>
                <w:b/>
              </w:rPr>
            </w:pPr>
            <w:bookmarkStart w:id="2" w:name="_Hlk204245894"/>
            <w:r>
              <w:rPr>
                <w:b/>
              </w:rPr>
              <w:t>Activity Topic</w:t>
            </w:r>
          </w:p>
        </w:tc>
        <w:tc>
          <w:tcPr>
            <w:tcW w:w="5958" w:type="dxa"/>
          </w:tcPr>
          <w:p w14:paraId="3D4777A5" w14:textId="77777777" w:rsidR="00B322AC" w:rsidRPr="00776D4A" w:rsidRDefault="00B322AC" w:rsidP="00F1086C">
            <w:pPr>
              <w:jc w:val="center"/>
              <w:rPr>
                <w:b/>
              </w:rPr>
            </w:pPr>
            <w:r>
              <w:rPr>
                <w:b/>
              </w:rPr>
              <w:t>Milestones</w:t>
            </w:r>
          </w:p>
        </w:tc>
        <w:tc>
          <w:tcPr>
            <w:tcW w:w="1440" w:type="dxa"/>
          </w:tcPr>
          <w:p w14:paraId="79C5C2F0" w14:textId="77777777" w:rsidR="00B322AC" w:rsidRPr="00776D4A" w:rsidRDefault="00B322AC" w:rsidP="00F1086C">
            <w:pPr>
              <w:jc w:val="center"/>
              <w:rPr>
                <w:b/>
              </w:rPr>
            </w:pPr>
            <w:r w:rsidRPr="00776D4A">
              <w:rPr>
                <w:b/>
              </w:rPr>
              <w:t>Timeframe</w:t>
            </w:r>
          </w:p>
        </w:tc>
      </w:tr>
      <w:tr w:rsidR="00B322AC" w:rsidRPr="00D20544" w14:paraId="0229F8F3" w14:textId="77777777" w:rsidTr="00F1086C">
        <w:tc>
          <w:tcPr>
            <w:tcW w:w="1512" w:type="dxa"/>
            <w:vMerge w:val="restart"/>
          </w:tcPr>
          <w:p w14:paraId="1B90352F" w14:textId="77777777" w:rsidR="00B322AC" w:rsidRPr="00D20544" w:rsidRDefault="00B322AC" w:rsidP="00F1086C">
            <w:pPr>
              <w:ind w:left="-18"/>
            </w:pPr>
            <w:r>
              <w:t>Data product gaps</w:t>
            </w:r>
          </w:p>
        </w:tc>
        <w:tc>
          <w:tcPr>
            <w:tcW w:w="5958" w:type="dxa"/>
          </w:tcPr>
          <w:p w14:paraId="06550579" w14:textId="77777777" w:rsidR="00B322AC" w:rsidRPr="00D20544" w:rsidRDefault="00B322AC" w:rsidP="00F1086C">
            <w:r>
              <w:t>Prioritize needed products to fill product gaps</w:t>
            </w:r>
          </w:p>
        </w:tc>
        <w:tc>
          <w:tcPr>
            <w:tcW w:w="1440" w:type="dxa"/>
          </w:tcPr>
          <w:p w14:paraId="06BFABAE" w14:textId="77777777" w:rsidR="00B322AC" w:rsidRPr="00D20544" w:rsidRDefault="00B322AC" w:rsidP="00F1086C">
            <w:r>
              <w:t>Year 1</w:t>
            </w:r>
          </w:p>
        </w:tc>
      </w:tr>
      <w:tr w:rsidR="00B322AC" w:rsidRPr="00D20544" w14:paraId="78DD5183" w14:textId="77777777" w:rsidTr="00F1086C">
        <w:tc>
          <w:tcPr>
            <w:tcW w:w="1512" w:type="dxa"/>
            <w:vMerge/>
          </w:tcPr>
          <w:p w14:paraId="1F402160" w14:textId="77777777" w:rsidR="00B322AC" w:rsidRPr="00D20544" w:rsidRDefault="00B322AC" w:rsidP="00F1086C">
            <w:pPr>
              <w:ind w:left="-18"/>
            </w:pPr>
          </w:p>
        </w:tc>
        <w:tc>
          <w:tcPr>
            <w:tcW w:w="5958" w:type="dxa"/>
          </w:tcPr>
          <w:p w14:paraId="7A4D21F6" w14:textId="77777777" w:rsidR="00B322AC" w:rsidRPr="00D20544" w:rsidRDefault="00B322AC" w:rsidP="00F1086C">
            <w:r>
              <w:t>Develop plan and methods to fill gaps</w:t>
            </w:r>
          </w:p>
        </w:tc>
        <w:tc>
          <w:tcPr>
            <w:tcW w:w="1440" w:type="dxa"/>
          </w:tcPr>
          <w:p w14:paraId="7C1CD326" w14:textId="77777777" w:rsidR="00B322AC" w:rsidRPr="00D20544" w:rsidRDefault="00B322AC" w:rsidP="00F1086C">
            <w:r>
              <w:t>Years 1-3</w:t>
            </w:r>
          </w:p>
        </w:tc>
      </w:tr>
      <w:tr w:rsidR="00B322AC" w:rsidRPr="00D20544" w14:paraId="07D86087" w14:textId="77777777" w:rsidTr="00F1086C">
        <w:tc>
          <w:tcPr>
            <w:tcW w:w="1512" w:type="dxa"/>
            <w:vMerge/>
          </w:tcPr>
          <w:p w14:paraId="5D8D0068" w14:textId="77777777" w:rsidR="00B322AC" w:rsidRPr="00D20544" w:rsidRDefault="00B322AC" w:rsidP="00F1086C">
            <w:pPr>
              <w:ind w:left="-18"/>
            </w:pPr>
          </w:p>
        </w:tc>
        <w:tc>
          <w:tcPr>
            <w:tcW w:w="5958" w:type="dxa"/>
          </w:tcPr>
          <w:p w14:paraId="05556C54" w14:textId="77777777" w:rsidR="00B322AC" w:rsidRPr="00D20544" w:rsidRDefault="00B322AC" w:rsidP="00F1086C">
            <w:r>
              <w:t>Implement product gap-filling plan (incremental, with partners)</w:t>
            </w:r>
          </w:p>
        </w:tc>
        <w:tc>
          <w:tcPr>
            <w:tcW w:w="1440" w:type="dxa"/>
          </w:tcPr>
          <w:p w14:paraId="39297E20" w14:textId="77777777" w:rsidR="00B322AC" w:rsidRPr="00D20544" w:rsidRDefault="00B322AC" w:rsidP="00F1086C">
            <w:r>
              <w:t>Years 2-5+</w:t>
            </w:r>
          </w:p>
        </w:tc>
      </w:tr>
      <w:tr w:rsidR="00B27EA2" w:rsidRPr="00D20544" w14:paraId="1E360853" w14:textId="77777777" w:rsidTr="00F1086C">
        <w:tc>
          <w:tcPr>
            <w:tcW w:w="1512" w:type="dxa"/>
            <w:vMerge w:val="restart"/>
          </w:tcPr>
          <w:p w14:paraId="104BC0B1" w14:textId="4CC25DA6" w:rsidR="00B27EA2" w:rsidRDefault="00B27EA2" w:rsidP="00B27EA2">
            <w:pPr>
              <w:ind w:left="-18"/>
            </w:pPr>
            <w:r w:rsidRPr="00E43D2D">
              <w:t>Data utilization tools</w:t>
            </w:r>
          </w:p>
        </w:tc>
        <w:tc>
          <w:tcPr>
            <w:tcW w:w="5958" w:type="dxa"/>
          </w:tcPr>
          <w:p w14:paraId="452BF8F4" w14:textId="578F774E" w:rsidR="00B27EA2" w:rsidRDefault="00B27EA2" w:rsidP="00B27EA2">
            <w:r w:rsidRPr="00E43D2D">
              <w:t>Assess current tools and identify and prioritize enhancements</w:t>
            </w:r>
          </w:p>
        </w:tc>
        <w:tc>
          <w:tcPr>
            <w:tcW w:w="1440" w:type="dxa"/>
          </w:tcPr>
          <w:p w14:paraId="42FA7A63" w14:textId="35E0D6EF" w:rsidR="00B27EA2" w:rsidRDefault="00B27EA2" w:rsidP="00B27EA2">
            <w:r w:rsidRPr="00E43D2D">
              <w:t>Years 1-3</w:t>
            </w:r>
          </w:p>
        </w:tc>
      </w:tr>
      <w:tr w:rsidR="00B27EA2" w:rsidRPr="00D20544" w14:paraId="2E56DB3F" w14:textId="77777777" w:rsidTr="00F1086C">
        <w:tc>
          <w:tcPr>
            <w:tcW w:w="1512" w:type="dxa"/>
            <w:vMerge/>
          </w:tcPr>
          <w:p w14:paraId="43D8A57F" w14:textId="77777777" w:rsidR="00B27EA2" w:rsidRDefault="00B27EA2" w:rsidP="00B27EA2">
            <w:pPr>
              <w:ind w:left="-18"/>
            </w:pPr>
          </w:p>
        </w:tc>
        <w:tc>
          <w:tcPr>
            <w:tcW w:w="5958" w:type="dxa"/>
          </w:tcPr>
          <w:p w14:paraId="6951DB24" w14:textId="0DA2625F" w:rsidR="00B27EA2" w:rsidRDefault="00B27EA2" w:rsidP="00B27EA2">
            <w:r w:rsidRPr="00E43D2D">
              <w:t>Develop plan and methods for enhancements</w:t>
            </w:r>
          </w:p>
        </w:tc>
        <w:tc>
          <w:tcPr>
            <w:tcW w:w="1440" w:type="dxa"/>
          </w:tcPr>
          <w:p w14:paraId="0450E466" w14:textId="29A49E4B" w:rsidR="00B27EA2" w:rsidRDefault="00B27EA2" w:rsidP="00B27EA2">
            <w:r w:rsidRPr="00E43D2D">
              <w:t>Years 2-4</w:t>
            </w:r>
          </w:p>
        </w:tc>
      </w:tr>
      <w:tr w:rsidR="00B27EA2" w:rsidRPr="00D20544" w14:paraId="6B2AD890" w14:textId="77777777" w:rsidTr="00F1086C">
        <w:tc>
          <w:tcPr>
            <w:tcW w:w="1512" w:type="dxa"/>
            <w:vMerge/>
          </w:tcPr>
          <w:p w14:paraId="2BF3937F" w14:textId="77777777" w:rsidR="00B27EA2" w:rsidRDefault="00B27EA2" w:rsidP="00B27EA2">
            <w:pPr>
              <w:ind w:left="-18"/>
            </w:pPr>
          </w:p>
        </w:tc>
        <w:tc>
          <w:tcPr>
            <w:tcW w:w="5958" w:type="dxa"/>
          </w:tcPr>
          <w:p w14:paraId="3A6E4288" w14:textId="2B597D89" w:rsidR="00B27EA2" w:rsidRDefault="00B27EA2" w:rsidP="00B27EA2">
            <w:r w:rsidRPr="00E43D2D">
              <w:t>Implement tool enhancements (incremental, with partners)</w:t>
            </w:r>
          </w:p>
        </w:tc>
        <w:tc>
          <w:tcPr>
            <w:tcW w:w="1440" w:type="dxa"/>
          </w:tcPr>
          <w:p w14:paraId="32FB3B9E" w14:textId="2331C5E4" w:rsidR="00B27EA2" w:rsidRDefault="00B27EA2" w:rsidP="00B27EA2">
            <w:r w:rsidRPr="00E43D2D">
              <w:t>Years 2-5+</w:t>
            </w:r>
          </w:p>
        </w:tc>
      </w:tr>
      <w:tr w:rsidR="00B322AC" w:rsidRPr="00D20544" w14:paraId="25E617FB" w14:textId="77777777" w:rsidTr="00F1086C">
        <w:tc>
          <w:tcPr>
            <w:tcW w:w="1512" w:type="dxa"/>
          </w:tcPr>
          <w:p w14:paraId="12FBD8C9" w14:textId="77777777" w:rsidR="00B322AC" w:rsidRPr="00D20544" w:rsidRDefault="00B322AC" w:rsidP="00F1086C">
            <w:pPr>
              <w:ind w:left="-18"/>
            </w:pPr>
            <w:r>
              <w:t>Demonstrator development</w:t>
            </w:r>
          </w:p>
        </w:tc>
        <w:tc>
          <w:tcPr>
            <w:tcW w:w="5958" w:type="dxa"/>
          </w:tcPr>
          <w:p w14:paraId="62B86445" w14:textId="77777777" w:rsidR="00B322AC" w:rsidRPr="00D20544" w:rsidRDefault="00B322AC" w:rsidP="00F1086C">
            <w:r>
              <w:t>Continue development of the three Ecosystem Extent Task Team demonstrators (Hudson Bay—ECCC; Costa Rica—CNES; Great Western Woodlands—CSIRO) and seek new demonstrator options</w:t>
            </w:r>
          </w:p>
        </w:tc>
        <w:tc>
          <w:tcPr>
            <w:tcW w:w="1440" w:type="dxa"/>
          </w:tcPr>
          <w:p w14:paraId="56EB8F52" w14:textId="06ED4162" w:rsidR="00B322AC" w:rsidRPr="00D20544" w:rsidRDefault="00B322AC" w:rsidP="00F1086C">
            <w:r>
              <w:t>Years 1</w:t>
            </w:r>
            <w:r w:rsidR="00BB35EC">
              <w:t xml:space="preserve">, </w:t>
            </w:r>
            <w:r>
              <w:t>2</w:t>
            </w:r>
            <w:r w:rsidR="00BB35EC">
              <w:t>-5</w:t>
            </w:r>
          </w:p>
        </w:tc>
      </w:tr>
      <w:tr w:rsidR="00B322AC" w:rsidRPr="00D20544" w14:paraId="5836B3C8" w14:textId="77777777" w:rsidTr="00F1086C">
        <w:tc>
          <w:tcPr>
            <w:tcW w:w="1512" w:type="dxa"/>
          </w:tcPr>
          <w:p w14:paraId="0732ADD6" w14:textId="77777777" w:rsidR="00B322AC" w:rsidRDefault="00B322AC" w:rsidP="00F1086C">
            <w:pPr>
              <w:ind w:left="-18"/>
            </w:pPr>
            <w:r w:rsidRPr="00670A71">
              <w:t>Capacity building</w:t>
            </w:r>
          </w:p>
        </w:tc>
        <w:tc>
          <w:tcPr>
            <w:tcW w:w="5958" w:type="dxa"/>
          </w:tcPr>
          <w:p w14:paraId="3E43A051" w14:textId="77777777" w:rsidR="00B322AC" w:rsidRDefault="00B322AC" w:rsidP="00F1086C">
            <w:r w:rsidRPr="00670A71">
              <w:t xml:space="preserve">Work with WGCapD to prioritize and </w:t>
            </w:r>
            <w:r>
              <w:t>enhance</w:t>
            </w:r>
            <w:r w:rsidRPr="00670A71">
              <w:t xml:space="preserve"> capacity building</w:t>
            </w:r>
          </w:p>
        </w:tc>
        <w:tc>
          <w:tcPr>
            <w:tcW w:w="1440" w:type="dxa"/>
          </w:tcPr>
          <w:p w14:paraId="436A1865" w14:textId="77777777" w:rsidR="00B322AC" w:rsidRDefault="00B322AC" w:rsidP="00F1086C">
            <w:r w:rsidRPr="00670A71">
              <w:t>Continuous</w:t>
            </w:r>
          </w:p>
        </w:tc>
      </w:tr>
      <w:tr w:rsidR="00B322AC" w:rsidRPr="00D20544" w14:paraId="043453A2" w14:textId="77777777" w:rsidTr="00F1086C">
        <w:tc>
          <w:tcPr>
            <w:tcW w:w="1512" w:type="dxa"/>
          </w:tcPr>
          <w:p w14:paraId="46689E96" w14:textId="77777777" w:rsidR="00B322AC" w:rsidRPr="00D20544" w:rsidRDefault="00B322AC" w:rsidP="00F1086C">
            <w:pPr>
              <w:ind w:left="-18"/>
            </w:pPr>
            <w:r>
              <w:t>Stakeholder engagement</w:t>
            </w:r>
          </w:p>
        </w:tc>
        <w:tc>
          <w:tcPr>
            <w:tcW w:w="5958" w:type="dxa"/>
          </w:tcPr>
          <w:p w14:paraId="3698BB02" w14:textId="77777777" w:rsidR="00B322AC" w:rsidRPr="00D20544" w:rsidRDefault="00B322AC" w:rsidP="00F1086C">
            <w:r>
              <w:t>Outreach and engagement via informational webinars, brochures, and other means</w:t>
            </w:r>
          </w:p>
        </w:tc>
        <w:tc>
          <w:tcPr>
            <w:tcW w:w="1440" w:type="dxa"/>
          </w:tcPr>
          <w:p w14:paraId="1C4AFF64" w14:textId="77777777" w:rsidR="00B322AC" w:rsidRPr="00D20544" w:rsidRDefault="00B322AC" w:rsidP="00F1086C">
            <w:r>
              <w:t>Continuous</w:t>
            </w:r>
          </w:p>
        </w:tc>
      </w:tr>
      <w:tr w:rsidR="00B322AC" w:rsidRPr="00D20544" w14:paraId="76060BEF" w14:textId="77777777" w:rsidTr="00F1086C">
        <w:tc>
          <w:tcPr>
            <w:tcW w:w="1512" w:type="dxa"/>
            <w:vMerge w:val="restart"/>
          </w:tcPr>
          <w:p w14:paraId="66791915" w14:textId="77777777" w:rsidR="00B322AC" w:rsidRPr="00D20544" w:rsidRDefault="00B322AC" w:rsidP="00F1086C">
            <w:r>
              <w:t>Space arm of GBiOS</w:t>
            </w:r>
          </w:p>
        </w:tc>
        <w:tc>
          <w:tcPr>
            <w:tcW w:w="5958" w:type="dxa"/>
          </w:tcPr>
          <w:p w14:paraId="4EC4336A" w14:textId="77777777" w:rsidR="00B322AC" w:rsidRPr="00D20544" w:rsidRDefault="00B322AC" w:rsidP="00F1086C">
            <w:r>
              <w:t>Identify needs, gaps, and challenges (jointly with GEO BON)</w:t>
            </w:r>
          </w:p>
        </w:tc>
        <w:tc>
          <w:tcPr>
            <w:tcW w:w="1440" w:type="dxa"/>
          </w:tcPr>
          <w:p w14:paraId="57F53BDA" w14:textId="77777777" w:rsidR="00B322AC" w:rsidRPr="00D20544" w:rsidRDefault="00B322AC" w:rsidP="00F1086C">
            <w:r>
              <w:t>Years 2-3</w:t>
            </w:r>
          </w:p>
        </w:tc>
      </w:tr>
      <w:tr w:rsidR="00B322AC" w:rsidRPr="00D20544" w14:paraId="6EB2F1A5" w14:textId="77777777" w:rsidTr="00F1086C">
        <w:tc>
          <w:tcPr>
            <w:tcW w:w="1512" w:type="dxa"/>
            <w:vMerge/>
          </w:tcPr>
          <w:p w14:paraId="6104C5AF" w14:textId="77777777" w:rsidR="00B322AC" w:rsidRPr="00D20544" w:rsidRDefault="00B322AC" w:rsidP="00F1086C">
            <w:pPr>
              <w:ind w:left="-18"/>
            </w:pPr>
          </w:p>
        </w:tc>
        <w:tc>
          <w:tcPr>
            <w:tcW w:w="5958" w:type="dxa"/>
          </w:tcPr>
          <w:p w14:paraId="0F20C024" w14:textId="77777777" w:rsidR="00B322AC" w:rsidRPr="00D20544" w:rsidRDefault="00B322AC" w:rsidP="00F1086C">
            <w:r>
              <w:t>Integrate space-based EO into the GBiOS concept and architecture (jointly with GEO BON)</w:t>
            </w:r>
          </w:p>
        </w:tc>
        <w:tc>
          <w:tcPr>
            <w:tcW w:w="1440" w:type="dxa"/>
          </w:tcPr>
          <w:p w14:paraId="7677D853" w14:textId="77777777" w:rsidR="00B322AC" w:rsidRPr="00D20544" w:rsidRDefault="00B322AC" w:rsidP="00F1086C">
            <w:r>
              <w:t>Years 3-7+</w:t>
            </w:r>
          </w:p>
        </w:tc>
      </w:tr>
      <w:bookmarkEnd w:id="2"/>
    </w:tbl>
    <w:p w14:paraId="435EFFD9" w14:textId="77777777" w:rsidR="0000448A" w:rsidRDefault="0000448A">
      <w:pPr>
        <w:rPr>
          <w:b/>
        </w:rPr>
      </w:pPr>
    </w:p>
    <w:p w14:paraId="0D941462" w14:textId="65570E55" w:rsidR="00A6431E" w:rsidRPr="00104E14" w:rsidRDefault="00A6431E">
      <w:pPr>
        <w:rPr>
          <w:b/>
        </w:rPr>
      </w:pPr>
      <w:r w:rsidRPr="00104E14">
        <w:rPr>
          <w:b/>
        </w:rPr>
        <w:t>MEMBERSHIP</w:t>
      </w:r>
      <w:r w:rsidR="0000448A">
        <w:rPr>
          <w:b/>
        </w:rPr>
        <w:t xml:space="preserve"> AND LEADERSHIP</w:t>
      </w:r>
      <w:r w:rsidR="000674E7" w:rsidRPr="00104E14">
        <w:rPr>
          <w:b/>
        </w:rPr>
        <w:t>:</w:t>
      </w:r>
    </w:p>
    <w:p w14:paraId="10D54A9A" w14:textId="620D3E09" w:rsidR="00766E4F" w:rsidRDefault="00766E4F" w:rsidP="00A839A5">
      <w:pPr>
        <w:keepNext/>
        <w:spacing w:after="0"/>
      </w:pPr>
      <w:r>
        <w:t>The B-VC</w:t>
      </w:r>
      <w:r w:rsidRPr="00894E9C">
        <w:t>’s official membership consists of representatives of CEOS Agencies and their</w:t>
      </w:r>
      <w:r w:rsidR="00A839A5">
        <w:t xml:space="preserve"> </w:t>
      </w:r>
      <w:r w:rsidR="00827774" w:rsidRPr="00827774">
        <w:t>designees</w:t>
      </w:r>
      <w:r w:rsidRPr="00894E9C">
        <w:t>.</w:t>
      </w:r>
      <w:r w:rsidR="00325FE7">
        <w:t xml:space="preserve"> </w:t>
      </w:r>
      <w:r w:rsidRPr="00894E9C">
        <w:t xml:space="preserve">Participation is open to all CEOS Agencies and </w:t>
      </w:r>
      <w:r w:rsidR="00827774" w:rsidRPr="00894E9C">
        <w:t>(at the discretion of</w:t>
      </w:r>
      <w:r w:rsidR="00827774">
        <w:t xml:space="preserve"> </w:t>
      </w:r>
      <w:r w:rsidR="00827774" w:rsidRPr="00894E9C">
        <w:t xml:space="preserve">the </w:t>
      </w:r>
      <w:r w:rsidR="00827774">
        <w:t>c</w:t>
      </w:r>
      <w:r w:rsidR="00827774" w:rsidRPr="00894E9C">
        <w:t>o-</w:t>
      </w:r>
      <w:r w:rsidR="00827774">
        <w:t>l</w:t>
      </w:r>
      <w:r w:rsidR="00827774" w:rsidRPr="00894E9C">
        <w:t xml:space="preserve">eads) </w:t>
      </w:r>
      <w:r w:rsidRPr="00894E9C">
        <w:t>other organizations that are willing to support and contribute to the priorities of</w:t>
      </w:r>
      <w:r w:rsidR="0082325D">
        <w:t xml:space="preserve"> the</w:t>
      </w:r>
      <w:r w:rsidRPr="00894E9C">
        <w:t xml:space="preserve"> </w:t>
      </w:r>
      <w:r>
        <w:t>B</w:t>
      </w:r>
      <w:r w:rsidRPr="00894E9C">
        <w:t>-VC.</w:t>
      </w:r>
    </w:p>
    <w:p w14:paraId="5183ED0E" w14:textId="77777777" w:rsidR="00325FE7" w:rsidRDefault="00325FE7" w:rsidP="00A839A5">
      <w:pPr>
        <w:keepNext/>
        <w:spacing w:after="0"/>
      </w:pPr>
    </w:p>
    <w:p w14:paraId="19873E13" w14:textId="0D8798D5" w:rsidR="00827774" w:rsidRDefault="00827774" w:rsidP="00827774">
      <w:pPr>
        <w:keepNext/>
        <w:spacing w:after="0"/>
      </w:pPr>
      <w:r>
        <w:t>To ensure smooth operation, the B-VC operates with a team of co-</w:t>
      </w:r>
      <w:r w:rsidRPr="00827774">
        <w:t>leads who are biodiversity experts</w:t>
      </w:r>
      <w:r>
        <w:t xml:space="preserve"> selected from CEOS Agencies that concretely contribute to the outcomes of the B-VC. To promote membership diversity, the B-VC aims to attract membership across geographic regions. In the case where a co-lead or member, for any reason, cannot continue to serve in the VC, their Agency will have the first option to fill the position w</w:t>
      </w:r>
      <w:r w:rsidRPr="00827774">
        <w:t>ith an alternate. If the Agency chooses not to name or designate a</w:t>
      </w:r>
      <w:r>
        <w:t>n alternate, the B-VC will seek biodiversity expert members from other CEOS Agencies that are actively contributing to the B-VC.</w:t>
      </w:r>
    </w:p>
    <w:p w14:paraId="738E342C" w14:textId="77777777" w:rsidR="0000448A" w:rsidRPr="00007168" w:rsidRDefault="0000448A" w:rsidP="00A839A5">
      <w:pPr>
        <w:keepNext/>
        <w:spacing w:after="0"/>
      </w:pPr>
    </w:p>
    <w:p w14:paraId="0CB42536" w14:textId="328B84F7" w:rsidR="0000448A" w:rsidRPr="0082775C" w:rsidRDefault="0000448A" w:rsidP="00344E91">
      <w:pPr>
        <w:rPr>
          <w:b/>
        </w:rPr>
      </w:pPr>
      <w:r w:rsidRPr="00007168">
        <w:rPr>
          <w:b/>
        </w:rPr>
        <w:t>RESOURCES</w:t>
      </w:r>
      <w:r w:rsidRPr="0082775C">
        <w:rPr>
          <w:b/>
        </w:rPr>
        <w:t>:</w:t>
      </w:r>
    </w:p>
    <w:p w14:paraId="54F69DAC" w14:textId="278DEC22" w:rsidR="008F28FB" w:rsidRPr="00007168" w:rsidRDefault="00817E4B" w:rsidP="008F28FB">
      <w:pPr>
        <w:spacing w:after="0"/>
      </w:pPr>
      <w:r w:rsidRPr="00007168">
        <w:t>T</w:t>
      </w:r>
      <w:r w:rsidR="008F28FB" w:rsidRPr="00007168">
        <w:t xml:space="preserve">hree categories of support </w:t>
      </w:r>
      <w:r w:rsidR="00595F88" w:rsidRPr="00007168">
        <w:t>will</w:t>
      </w:r>
      <w:r w:rsidR="008F28FB" w:rsidRPr="00007168">
        <w:t xml:space="preserve"> provide the resources to enable the B-VC’s activities and to meet its objectives</w:t>
      </w:r>
      <w:r w:rsidR="00AE0906" w:rsidRPr="00007168">
        <w:t>.</w:t>
      </w:r>
    </w:p>
    <w:p w14:paraId="140BC56D" w14:textId="77777777" w:rsidR="008F28FB" w:rsidRPr="00007168" w:rsidRDefault="008F28FB" w:rsidP="008F28FB">
      <w:pPr>
        <w:spacing w:after="0"/>
      </w:pPr>
    </w:p>
    <w:p w14:paraId="22A19654" w14:textId="2B97E542" w:rsidR="008F28FB" w:rsidRPr="00007168" w:rsidRDefault="008F28FB" w:rsidP="008F28FB">
      <w:r w:rsidRPr="00007168">
        <w:rPr>
          <w:b/>
        </w:rPr>
        <w:t>B-VC team members.</w:t>
      </w:r>
      <w:r w:rsidRPr="00007168">
        <w:t xml:space="preserve"> As Biodiversity Study Team membership shows there is significant interest in Biodiversity across CEOS. Member time and associated resources will be supported by their sponsor Agencies in a manner similar to that for the BST. </w:t>
      </w:r>
      <w:bookmarkStart w:id="3" w:name="_Hlk204867074"/>
      <w:r w:rsidR="00286FFE" w:rsidRPr="00007168">
        <w:t>Additionally, certain activities will benefit from support from other CEOS entities that have the needed expertise.</w:t>
      </w:r>
    </w:p>
    <w:p w14:paraId="2C10E30B" w14:textId="65B57C10" w:rsidR="008F28FB" w:rsidRPr="00007168" w:rsidRDefault="00E157CA" w:rsidP="008F28FB">
      <w:r w:rsidRPr="00007168">
        <w:t xml:space="preserve">The B-VC and its members largely focus on planning and facilitating biodiversity-relevant activities to increase utilization of space-based EO. While this </w:t>
      </w:r>
      <w:r w:rsidR="00381252" w:rsidRPr="00007168">
        <w:t>will be</w:t>
      </w:r>
      <w:r w:rsidRPr="00007168">
        <w:t xml:space="preserve"> supported by</w:t>
      </w:r>
      <w:r w:rsidR="008F28FB" w:rsidRPr="00007168">
        <w:t xml:space="preserve"> CEOS Agency involvement, </w:t>
      </w:r>
      <w:r w:rsidRPr="00007168">
        <w:t xml:space="preserve">the BST will invite </w:t>
      </w:r>
      <w:r w:rsidR="008F28FB" w:rsidRPr="00007168">
        <w:t xml:space="preserve">members of the </w:t>
      </w:r>
      <w:r w:rsidRPr="00007168">
        <w:t xml:space="preserve">outside </w:t>
      </w:r>
      <w:r w:rsidR="008F28FB" w:rsidRPr="00007168">
        <w:t>research and applied biodiversity communities such as those at universities, institutes, and other organizations</w:t>
      </w:r>
      <w:r w:rsidR="00381252" w:rsidRPr="00007168">
        <w:t xml:space="preserve"> </w:t>
      </w:r>
      <w:r w:rsidR="008F28FB" w:rsidRPr="00007168">
        <w:t>to participate in the B-VC and to support its activities.</w:t>
      </w:r>
      <w:r w:rsidRPr="00007168">
        <w:t xml:space="preserve"> Many BST members and several key Agencies already </w:t>
      </w:r>
      <w:r w:rsidR="00381252" w:rsidRPr="00007168">
        <w:t xml:space="preserve">heavily </w:t>
      </w:r>
      <w:r w:rsidRPr="00007168">
        <w:t xml:space="preserve">engage with outside </w:t>
      </w:r>
      <w:r w:rsidR="00381252" w:rsidRPr="00007168">
        <w:t>organizations through existing projects</w:t>
      </w:r>
      <w:r w:rsidR="005F4D92" w:rsidRPr="00007168">
        <w:t xml:space="preserve"> and other activities; </w:t>
      </w:r>
      <w:r w:rsidRPr="00007168">
        <w:t>this engagement will continue.</w:t>
      </w:r>
      <w:r w:rsidR="008F28FB" w:rsidRPr="00007168">
        <w:t xml:space="preserve"> </w:t>
      </w:r>
      <w:r w:rsidR="00381252" w:rsidRPr="00007168">
        <w:t>Additional</w:t>
      </w:r>
      <w:r w:rsidR="005F4D92" w:rsidRPr="00007168">
        <w:t>,</w:t>
      </w:r>
      <w:r w:rsidR="00381252" w:rsidRPr="00007168">
        <w:t xml:space="preserve"> i</w:t>
      </w:r>
      <w:r w:rsidR="008F28FB" w:rsidRPr="00007168">
        <w:t xml:space="preserve">n-kind participation is </w:t>
      </w:r>
      <w:r w:rsidR="005F4D92" w:rsidRPr="00007168">
        <w:t>expected</w:t>
      </w:r>
      <w:r w:rsidR="008F28FB" w:rsidRPr="00007168">
        <w:t xml:space="preserve"> where there is alignment with an activity such as development of a product (product development is a common activity at universities, often by a graduate student under the guidance of their professor).</w:t>
      </w:r>
    </w:p>
    <w:bookmarkEnd w:id="3"/>
    <w:p w14:paraId="1EE2DE43" w14:textId="7FC6963B" w:rsidR="008F28FB" w:rsidRPr="00007168" w:rsidRDefault="008F28FB" w:rsidP="008F28FB">
      <w:r w:rsidRPr="00007168">
        <w:rPr>
          <w:b/>
        </w:rPr>
        <w:t>Agency Research and Development Programs.</w:t>
      </w:r>
      <w:r w:rsidRPr="00007168">
        <w:t xml:space="preserve"> Some of the B-VC’s planned activities, such as algorithm and product development and the </w:t>
      </w:r>
      <w:r w:rsidR="00DB4083" w:rsidRPr="00007168">
        <w:t>“</w:t>
      </w:r>
      <w:r w:rsidRPr="00007168">
        <w:t>demonstrators</w:t>
      </w:r>
      <w:r w:rsidR="00DB4083" w:rsidRPr="00007168">
        <w:t>”</w:t>
      </w:r>
      <w:r w:rsidRPr="00007168">
        <w:t xml:space="preserve">, align with Agency research and development programs that already support these types of activities, often by soliciting proposals. Universities, institutes, and NGOs have </w:t>
      </w:r>
      <w:r w:rsidR="00DB4083" w:rsidRPr="00007168">
        <w:t>focused on</w:t>
      </w:r>
      <w:r w:rsidRPr="00007168">
        <w:t xml:space="preserve"> </w:t>
      </w:r>
      <w:r w:rsidR="00DB4083" w:rsidRPr="00007168">
        <w:t xml:space="preserve">EO </w:t>
      </w:r>
      <w:r w:rsidRPr="00007168">
        <w:t xml:space="preserve">utilization for biodiversity for many years, as exemplified by the many proposals that space agencies have funded. The exceptionally high interest in </w:t>
      </w:r>
      <w:r w:rsidR="005F4D92" w:rsidRPr="00007168">
        <w:t xml:space="preserve">ESA’s </w:t>
      </w:r>
      <w:r w:rsidRPr="00007168">
        <w:t>BioSpace25</w:t>
      </w:r>
      <w:r w:rsidR="0082775C">
        <w:t xml:space="preserve"> conference</w:t>
      </w:r>
      <w:r w:rsidRPr="00007168">
        <w:t xml:space="preserve"> (February 2025</w:t>
      </w:r>
      <w:r w:rsidR="0082775C">
        <w:t xml:space="preserve">; </w:t>
      </w:r>
      <w:r w:rsidRPr="00007168">
        <w:t xml:space="preserve">many attendees had to be turned away as capacity was exceeded) is an example of the level of interest in this topic. It is noted that each of the three </w:t>
      </w:r>
      <w:r w:rsidR="005F4D92" w:rsidRPr="00007168">
        <w:t>Ecosystem Extent Task Team</w:t>
      </w:r>
      <w:r w:rsidRPr="00007168">
        <w:t xml:space="preserve"> Demonstrators was funded by a CEOS member Agency</w:t>
      </w:r>
      <w:r w:rsidR="0082775C">
        <w:t>. D</w:t>
      </w:r>
      <w:r w:rsidRPr="00007168">
        <w:t xml:space="preserve">emonstrators such as those have components that support all of the B-VC’s planned activities and are a valuable tool for users seeking to enhance their use of space-based EO to meet their needs. </w:t>
      </w:r>
    </w:p>
    <w:p w14:paraId="00756BD6" w14:textId="2C50283E" w:rsidR="008F28FB" w:rsidRPr="00007168" w:rsidRDefault="008F28FB" w:rsidP="008F28FB">
      <w:pPr>
        <w:pStyle w:val="ListParagraph"/>
        <w:spacing w:before="240"/>
        <w:ind w:left="0"/>
      </w:pPr>
      <w:r w:rsidRPr="00007168">
        <w:rPr>
          <w:b/>
        </w:rPr>
        <w:t>External Support.</w:t>
      </w:r>
      <w:r w:rsidRPr="00007168">
        <w:t xml:space="preserve"> Another source of support for B-VC activities is proposals submitted to non-CEOS Agency organizations by B-VC external partners. For example, a national science agency or an agency within an Environment Ministry may solicit proposals for work relevant to the B-VC’s activities, such as development of a product or tool for which a biodiversity expert at a university then submits a proposal. An important role of the B-VC is to </w:t>
      </w:r>
      <w:r w:rsidR="0082775C">
        <w:t>continue engagement</w:t>
      </w:r>
      <w:r w:rsidRPr="00007168">
        <w:t xml:space="preserve"> with such external partners so they are aware of, and encouraged</w:t>
      </w:r>
      <w:r w:rsidR="0082775C">
        <w:t>,</w:t>
      </w:r>
      <w:bookmarkStart w:id="4" w:name="_GoBack"/>
      <w:bookmarkEnd w:id="4"/>
      <w:r w:rsidRPr="00007168">
        <w:t xml:space="preserve"> to engage with potential B-VC activities.</w:t>
      </w:r>
    </w:p>
    <w:p w14:paraId="12C6A93F" w14:textId="77777777" w:rsidR="008F28FB" w:rsidRPr="00052DE9" w:rsidRDefault="008F28FB" w:rsidP="00A839A5">
      <w:pPr>
        <w:keepNext/>
        <w:spacing w:after="0"/>
        <w:rPr>
          <w:color w:val="806000" w:themeColor="accent4" w:themeShade="80"/>
        </w:rPr>
      </w:pPr>
    </w:p>
    <w:sectPr w:rsidR="008F28FB" w:rsidRPr="00052DE9">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AD2548" w16cex:dateUtc="2025-08-18T16:12:00Z"/>
  <w16cex:commentExtensible w16cex:durableId="005F489A" w16cex:dateUtc="2025-08-18T16:19:00Z"/>
  <w16cex:commentExtensible w16cex:durableId="59606C0D" w16cex:dateUtc="2025-08-18T16:27:00Z"/>
  <w16cex:commentExtensible w16cex:durableId="2485FE2F" w16cex:dateUtc="2025-08-18T16:32:00Z"/>
  <w16cex:commentExtensible w16cex:durableId="750426E4" w16cex:dateUtc="2025-08-18T16:35:00Z"/>
  <w16cex:commentExtensible w16cex:durableId="48B796F8" w16cex:dateUtc="2025-08-18T16:36:00Z"/>
  <w16cex:commentExtensible w16cex:durableId="47D1B6F3" w16cex:dateUtc="2025-08-18T16:38:00Z"/>
  <w16cex:commentExtensible w16cex:durableId="62601F92" w16cex:dateUtc="2025-08-18T16:48:00Z"/>
  <w16cex:commentExtensible w16cex:durableId="61F5FE70" w16cex:dateUtc="2025-08-18T18:35:00Z"/>
  <w16cex:commentExtensible w16cex:durableId="1CA4E323" w16cex:dateUtc="2025-08-18T16:41:00Z"/>
  <w16cex:commentExtensible w16cex:durableId="1516D956" w16cex:dateUtc="2025-08-18T16:53:00Z"/>
  <w16cex:commentExtensible w16cex:durableId="4F48E840" w16cex:dateUtc="2025-08-18T16:56:00Z"/>
  <w16cex:commentExtensible w16cex:durableId="2AAC2193" w16cex:dateUtc="2025-08-18T16:59:00Z"/>
  <w16cex:commentExtensible w16cex:durableId="18374EF6" w16cex:dateUtc="2025-08-18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EC92" w14:textId="77777777" w:rsidR="007E4D51" w:rsidRDefault="007E4D51" w:rsidP="00B54556">
      <w:pPr>
        <w:spacing w:after="0" w:line="240" w:lineRule="auto"/>
      </w:pPr>
      <w:r>
        <w:separator/>
      </w:r>
    </w:p>
  </w:endnote>
  <w:endnote w:type="continuationSeparator" w:id="0">
    <w:p w14:paraId="2E3790CC" w14:textId="77777777" w:rsidR="007E4D51" w:rsidRDefault="007E4D51" w:rsidP="00B5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264069"/>
      <w:docPartObj>
        <w:docPartGallery w:val="Page Numbers (Bottom of Page)"/>
        <w:docPartUnique/>
      </w:docPartObj>
    </w:sdtPr>
    <w:sdtEndPr>
      <w:rPr>
        <w:noProof/>
      </w:rPr>
    </w:sdtEndPr>
    <w:sdtContent>
      <w:p w14:paraId="450F704F" w14:textId="4CEB7596" w:rsidR="00C5690C" w:rsidRDefault="00C569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741C9" w14:textId="77777777" w:rsidR="00C5690C" w:rsidRDefault="00C5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675A" w14:textId="77777777" w:rsidR="007E4D51" w:rsidRDefault="007E4D51" w:rsidP="00B54556">
      <w:pPr>
        <w:spacing w:after="0" w:line="240" w:lineRule="auto"/>
      </w:pPr>
      <w:r>
        <w:separator/>
      </w:r>
    </w:p>
  </w:footnote>
  <w:footnote w:type="continuationSeparator" w:id="0">
    <w:p w14:paraId="010A0CCD" w14:textId="77777777" w:rsidR="007E4D51" w:rsidRDefault="007E4D51" w:rsidP="00B54556">
      <w:pPr>
        <w:spacing w:after="0" w:line="240" w:lineRule="auto"/>
      </w:pPr>
      <w:r>
        <w:continuationSeparator/>
      </w:r>
    </w:p>
  </w:footnote>
  <w:footnote w:id="1">
    <w:p w14:paraId="57A99AD4" w14:textId="43465350" w:rsidR="003934A9" w:rsidRDefault="003934A9" w:rsidP="003934A9">
      <w:pPr>
        <w:pStyle w:val="FootnoteText"/>
      </w:pPr>
      <w:r>
        <w:rPr>
          <w:rStyle w:val="FootnoteReference"/>
        </w:rPr>
        <w:footnoteRef/>
      </w:r>
      <w:r>
        <w:t xml:space="preserve"> Jet Propulsion Laboratory, California Institute of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18C"/>
    <w:multiLevelType w:val="hybridMultilevel"/>
    <w:tmpl w:val="A4527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838B8"/>
    <w:multiLevelType w:val="hybridMultilevel"/>
    <w:tmpl w:val="67D614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815782"/>
    <w:multiLevelType w:val="hybridMultilevel"/>
    <w:tmpl w:val="E2883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54D81"/>
    <w:multiLevelType w:val="hybridMultilevel"/>
    <w:tmpl w:val="4328A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3A69B1"/>
    <w:multiLevelType w:val="hybridMultilevel"/>
    <w:tmpl w:val="018210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126E2"/>
    <w:multiLevelType w:val="hybridMultilevel"/>
    <w:tmpl w:val="E576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01D01"/>
    <w:multiLevelType w:val="hybridMultilevel"/>
    <w:tmpl w:val="E366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046DF"/>
    <w:multiLevelType w:val="hybridMultilevel"/>
    <w:tmpl w:val="1FD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1736B"/>
    <w:multiLevelType w:val="hybridMultilevel"/>
    <w:tmpl w:val="4002D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7857FB"/>
    <w:multiLevelType w:val="hybridMultilevel"/>
    <w:tmpl w:val="8C8074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6824A0"/>
    <w:multiLevelType w:val="hybridMultilevel"/>
    <w:tmpl w:val="B18855C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9C386A"/>
    <w:multiLevelType w:val="hybridMultilevel"/>
    <w:tmpl w:val="FED2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A6408"/>
    <w:multiLevelType w:val="hybridMultilevel"/>
    <w:tmpl w:val="F892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1"/>
  </w:num>
  <w:num w:numId="5">
    <w:abstractNumId w:val="6"/>
  </w:num>
  <w:num w:numId="6">
    <w:abstractNumId w:val="5"/>
  </w:num>
  <w:num w:numId="7">
    <w:abstractNumId w:val="10"/>
  </w:num>
  <w:num w:numId="8">
    <w:abstractNumId w:val="1"/>
  </w:num>
  <w:num w:numId="9">
    <w:abstractNumId w:val="2"/>
  </w:num>
  <w:num w:numId="10">
    <w:abstractNumId w:val="7"/>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A2"/>
    <w:rsid w:val="0000448A"/>
    <w:rsid w:val="00007168"/>
    <w:rsid w:val="0001187C"/>
    <w:rsid w:val="00020504"/>
    <w:rsid w:val="00022486"/>
    <w:rsid w:val="00025A54"/>
    <w:rsid w:val="00035B88"/>
    <w:rsid w:val="000379D2"/>
    <w:rsid w:val="00042F76"/>
    <w:rsid w:val="000436A7"/>
    <w:rsid w:val="00043A35"/>
    <w:rsid w:val="000460F4"/>
    <w:rsid w:val="00046228"/>
    <w:rsid w:val="00052DE9"/>
    <w:rsid w:val="00053310"/>
    <w:rsid w:val="00056BA5"/>
    <w:rsid w:val="00063327"/>
    <w:rsid w:val="000639F5"/>
    <w:rsid w:val="00064372"/>
    <w:rsid w:val="000674E7"/>
    <w:rsid w:val="0006753E"/>
    <w:rsid w:val="00070A89"/>
    <w:rsid w:val="00080779"/>
    <w:rsid w:val="0008299C"/>
    <w:rsid w:val="00087B6D"/>
    <w:rsid w:val="00092AF9"/>
    <w:rsid w:val="000955A1"/>
    <w:rsid w:val="000B0027"/>
    <w:rsid w:val="000B0564"/>
    <w:rsid w:val="000C3AA1"/>
    <w:rsid w:val="000C4155"/>
    <w:rsid w:val="000C5A59"/>
    <w:rsid w:val="000C7766"/>
    <w:rsid w:val="000C786B"/>
    <w:rsid w:val="000C78D1"/>
    <w:rsid w:val="000D0BE6"/>
    <w:rsid w:val="000D1839"/>
    <w:rsid w:val="000D60F6"/>
    <w:rsid w:val="000E1F15"/>
    <w:rsid w:val="000E58F4"/>
    <w:rsid w:val="000E6684"/>
    <w:rsid w:val="000F460D"/>
    <w:rsid w:val="00103287"/>
    <w:rsid w:val="00104E14"/>
    <w:rsid w:val="001120F8"/>
    <w:rsid w:val="0011211C"/>
    <w:rsid w:val="001300F0"/>
    <w:rsid w:val="00132B1B"/>
    <w:rsid w:val="0014273E"/>
    <w:rsid w:val="00147585"/>
    <w:rsid w:val="00151592"/>
    <w:rsid w:val="00152E8E"/>
    <w:rsid w:val="0015320E"/>
    <w:rsid w:val="001579A6"/>
    <w:rsid w:val="00161BD1"/>
    <w:rsid w:val="00163473"/>
    <w:rsid w:val="001679CB"/>
    <w:rsid w:val="001708FE"/>
    <w:rsid w:val="001721E2"/>
    <w:rsid w:val="00173E01"/>
    <w:rsid w:val="00174273"/>
    <w:rsid w:val="00181C59"/>
    <w:rsid w:val="0019375F"/>
    <w:rsid w:val="00196325"/>
    <w:rsid w:val="001A2AEB"/>
    <w:rsid w:val="001A5176"/>
    <w:rsid w:val="001B029E"/>
    <w:rsid w:val="001B0CEF"/>
    <w:rsid w:val="001B3329"/>
    <w:rsid w:val="001B442D"/>
    <w:rsid w:val="001C294D"/>
    <w:rsid w:val="001C345E"/>
    <w:rsid w:val="001C6EF6"/>
    <w:rsid w:val="001D018A"/>
    <w:rsid w:val="001E305C"/>
    <w:rsid w:val="001F066E"/>
    <w:rsid w:val="001F2362"/>
    <w:rsid w:val="001F7E43"/>
    <w:rsid w:val="00200998"/>
    <w:rsid w:val="0021288F"/>
    <w:rsid w:val="00216AB9"/>
    <w:rsid w:val="00223460"/>
    <w:rsid w:val="002344CC"/>
    <w:rsid w:val="0024130D"/>
    <w:rsid w:val="002603B5"/>
    <w:rsid w:val="00270A94"/>
    <w:rsid w:val="00275F43"/>
    <w:rsid w:val="002773B6"/>
    <w:rsid w:val="0027788A"/>
    <w:rsid w:val="00280620"/>
    <w:rsid w:val="00285741"/>
    <w:rsid w:val="00286FFE"/>
    <w:rsid w:val="00287299"/>
    <w:rsid w:val="0029094E"/>
    <w:rsid w:val="002913EF"/>
    <w:rsid w:val="002A11AE"/>
    <w:rsid w:val="002A257A"/>
    <w:rsid w:val="002A26F6"/>
    <w:rsid w:val="002A629E"/>
    <w:rsid w:val="002A6844"/>
    <w:rsid w:val="002A6D4D"/>
    <w:rsid w:val="002B3950"/>
    <w:rsid w:val="002B5522"/>
    <w:rsid w:val="002B5DAD"/>
    <w:rsid w:val="002B79BA"/>
    <w:rsid w:val="002C73D2"/>
    <w:rsid w:val="002D5479"/>
    <w:rsid w:val="002E3682"/>
    <w:rsid w:val="002E5037"/>
    <w:rsid w:val="002E7CD7"/>
    <w:rsid w:val="002F0A97"/>
    <w:rsid w:val="002F65AE"/>
    <w:rsid w:val="00302107"/>
    <w:rsid w:val="00305E37"/>
    <w:rsid w:val="00320B41"/>
    <w:rsid w:val="00321E2F"/>
    <w:rsid w:val="00325FE7"/>
    <w:rsid w:val="00330445"/>
    <w:rsid w:val="00344E91"/>
    <w:rsid w:val="00363187"/>
    <w:rsid w:val="00367C6A"/>
    <w:rsid w:val="00371F5D"/>
    <w:rsid w:val="0037330F"/>
    <w:rsid w:val="00374196"/>
    <w:rsid w:val="00381252"/>
    <w:rsid w:val="0038250A"/>
    <w:rsid w:val="003868EE"/>
    <w:rsid w:val="003934A9"/>
    <w:rsid w:val="003A1428"/>
    <w:rsid w:val="003A21E2"/>
    <w:rsid w:val="003A3CBB"/>
    <w:rsid w:val="003A668E"/>
    <w:rsid w:val="003A69B5"/>
    <w:rsid w:val="003B0EDB"/>
    <w:rsid w:val="003C1F9C"/>
    <w:rsid w:val="003E1C35"/>
    <w:rsid w:val="003F1081"/>
    <w:rsid w:val="00400DCE"/>
    <w:rsid w:val="00402954"/>
    <w:rsid w:val="00404070"/>
    <w:rsid w:val="00410593"/>
    <w:rsid w:val="004139CF"/>
    <w:rsid w:val="0042008F"/>
    <w:rsid w:val="00421FCB"/>
    <w:rsid w:val="00426DDD"/>
    <w:rsid w:val="004304E6"/>
    <w:rsid w:val="00437A3D"/>
    <w:rsid w:val="00441F4E"/>
    <w:rsid w:val="00446FBA"/>
    <w:rsid w:val="004517A9"/>
    <w:rsid w:val="0046088C"/>
    <w:rsid w:val="00463BAA"/>
    <w:rsid w:val="00464B83"/>
    <w:rsid w:val="0047436D"/>
    <w:rsid w:val="00474A82"/>
    <w:rsid w:val="00487C66"/>
    <w:rsid w:val="00492DD2"/>
    <w:rsid w:val="00494155"/>
    <w:rsid w:val="00497BD6"/>
    <w:rsid w:val="004B0156"/>
    <w:rsid w:val="004B0782"/>
    <w:rsid w:val="004B5286"/>
    <w:rsid w:val="004C18B1"/>
    <w:rsid w:val="004C4633"/>
    <w:rsid w:val="004D11ED"/>
    <w:rsid w:val="004D220F"/>
    <w:rsid w:val="004E6C46"/>
    <w:rsid w:val="004E7D8F"/>
    <w:rsid w:val="004F0E18"/>
    <w:rsid w:val="004F474C"/>
    <w:rsid w:val="00502726"/>
    <w:rsid w:val="005065BF"/>
    <w:rsid w:val="005228C8"/>
    <w:rsid w:val="00523A3B"/>
    <w:rsid w:val="0052436F"/>
    <w:rsid w:val="00536150"/>
    <w:rsid w:val="00550D05"/>
    <w:rsid w:val="00551641"/>
    <w:rsid w:val="005541F5"/>
    <w:rsid w:val="005548C0"/>
    <w:rsid w:val="00570E90"/>
    <w:rsid w:val="005717A1"/>
    <w:rsid w:val="005738AB"/>
    <w:rsid w:val="005755E1"/>
    <w:rsid w:val="0057578C"/>
    <w:rsid w:val="00577FD2"/>
    <w:rsid w:val="00581A05"/>
    <w:rsid w:val="00585E07"/>
    <w:rsid w:val="005864AB"/>
    <w:rsid w:val="00594DA4"/>
    <w:rsid w:val="00595F88"/>
    <w:rsid w:val="005A032D"/>
    <w:rsid w:val="005B2CDD"/>
    <w:rsid w:val="005B2D01"/>
    <w:rsid w:val="005B49CA"/>
    <w:rsid w:val="005C275A"/>
    <w:rsid w:val="005C320D"/>
    <w:rsid w:val="005D1494"/>
    <w:rsid w:val="005D52A2"/>
    <w:rsid w:val="005D59D0"/>
    <w:rsid w:val="005D73BD"/>
    <w:rsid w:val="005E12F5"/>
    <w:rsid w:val="005F4D92"/>
    <w:rsid w:val="005F5ED9"/>
    <w:rsid w:val="00607DA4"/>
    <w:rsid w:val="00610E01"/>
    <w:rsid w:val="0061375D"/>
    <w:rsid w:val="00620463"/>
    <w:rsid w:val="00621C7F"/>
    <w:rsid w:val="0063048D"/>
    <w:rsid w:val="00635ED6"/>
    <w:rsid w:val="00635EDA"/>
    <w:rsid w:val="00637570"/>
    <w:rsid w:val="0064108D"/>
    <w:rsid w:val="006415B6"/>
    <w:rsid w:val="00642008"/>
    <w:rsid w:val="00644486"/>
    <w:rsid w:val="006444FF"/>
    <w:rsid w:val="006446AB"/>
    <w:rsid w:val="00646637"/>
    <w:rsid w:val="0065023B"/>
    <w:rsid w:val="00653B47"/>
    <w:rsid w:val="006657EA"/>
    <w:rsid w:val="00671890"/>
    <w:rsid w:val="00672AD2"/>
    <w:rsid w:val="006747A7"/>
    <w:rsid w:val="0068299C"/>
    <w:rsid w:val="00682AEE"/>
    <w:rsid w:val="006872AC"/>
    <w:rsid w:val="00687C1B"/>
    <w:rsid w:val="006914DC"/>
    <w:rsid w:val="00694053"/>
    <w:rsid w:val="006A2DB3"/>
    <w:rsid w:val="006A4FC3"/>
    <w:rsid w:val="006A69B9"/>
    <w:rsid w:val="006B0542"/>
    <w:rsid w:val="006B360D"/>
    <w:rsid w:val="006B4684"/>
    <w:rsid w:val="006D46AB"/>
    <w:rsid w:val="006D5332"/>
    <w:rsid w:val="006E58AF"/>
    <w:rsid w:val="006E5F1E"/>
    <w:rsid w:val="006F37FF"/>
    <w:rsid w:val="006F44B9"/>
    <w:rsid w:val="006F7266"/>
    <w:rsid w:val="0070056B"/>
    <w:rsid w:val="00706DCC"/>
    <w:rsid w:val="007077EA"/>
    <w:rsid w:val="00711DB0"/>
    <w:rsid w:val="007166A4"/>
    <w:rsid w:val="00733ED7"/>
    <w:rsid w:val="00744A5E"/>
    <w:rsid w:val="00745CB2"/>
    <w:rsid w:val="0074601B"/>
    <w:rsid w:val="00755271"/>
    <w:rsid w:val="00764402"/>
    <w:rsid w:val="00766E4F"/>
    <w:rsid w:val="00774F65"/>
    <w:rsid w:val="00777CA1"/>
    <w:rsid w:val="007943DB"/>
    <w:rsid w:val="007A1128"/>
    <w:rsid w:val="007A188C"/>
    <w:rsid w:val="007A357F"/>
    <w:rsid w:val="007C28E1"/>
    <w:rsid w:val="007E3364"/>
    <w:rsid w:val="007E4D51"/>
    <w:rsid w:val="007E7A2C"/>
    <w:rsid w:val="007F254F"/>
    <w:rsid w:val="00800236"/>
    <w:rsid w:val="00804D9C"/>
    <w:rsid w:val="00817E4B"/>
    <w:rsid w:val="00817F0B"/>
    <w:rsid w:val="00820C90"/>
    <w:rsid w:val="0082325D"/>
    <w:rsid w:val="00825019"/>
    <w:rsid w:val="0082775C"/>
    <w:rsid w:val="00827774"/>
    <w:rsid w:val="00832DE4"/>
    <w:rsid w:val="00854713"/>
    <w:rsid w:val="008611BC"/>
    <w:rsid w:val="00871A57"/>
    <w:rsid w:val="00875636"/>
    <w:rsid w:val="00880D83"/>
    <w:rsid w:val="00887164"/>
    <w:rsid w:val="00892B1A"/>
    <w:rsid w:val="0089349D"/>
    <w:rsid w:val="008938C5"/>
    <w:rsid w:val="00893C80"/>
    <w:rsid w:val="00894E9C"/>
    <w:rsid w:val="008A0880"/>
    <w:rsid w:val="008B6E3F"/>
    <w:rsid w:val="008D4EC1"/>
    <w:rsid w:val="008D5120"/>
    <w:rsid w:val="008D53A3"/>
    <w:rsid w:val="008E7D4F"/>
    <w:rsid w:val="008F1A9E"/>
    <w:rsid w:val="008F22A4"/>
    <w:rsid w:val="008F28FB"/>
    <w:rsid w:val="009001EF"/>
    <w:rsid w:val="009003BB"/>
    <w:rsid w:val="0090419E"/>
    <w:rsid w:val="00904BE7"/>
    <w:rsid w:val="009149F4"/>
    <w:rsid w:val="0091573C"/>
    <w:rsid w:val="00925588"/>
    <w:rsid w:val="00932080"/>
    <w:rsid w:val="0093588E"/>
    <w:rsid w:val="0093757B"/>
    <w:rsid w:val="009448AF"/>
    <w:rsid w:val="009612CE"/>
    <w:rsid w:val="0096325B"/>
    <w:rsid w:val="009646D4"/>
    <w:rsid w:val="00970934"/>
    <w:rsid w:val="009732FE"/>
    <w:rsid w:val="00974024"/>
    <w:rsid w:val="009935DA"/>
    <w:rsid w:val="0099611E"/>
    <w:rsid w:val="009B1504"/>
    <w:rsid w:val="009B1856"/>
    <w:rsid w:val="009B6A6C"/>
    <w:rsid w:val="009B796C"/>
    <w:rsid w:val="009C06A6"/>
    <w:rsid w:val="009C4505"/>
    <w:rsid w:val="009C45C7"/>
    <w:rsid w:val="009C52EC"/>
    <w:rsid w:val="009D2781"/>
    <w:rsid w:val="009D7E31"/>
    <w:rsid w:val="009D7FA4"/>
    <w:rsid w:val="009E6678"/>
    <w:rsid w:val="00A018E5"/>
    <w:rsid w:val="00A04C2A"/>
    <w:rsid w:val="00A067F7"/>
    <w:rsid w:val="00A07E66"/>
    <w:rsid w:val="00A119F8"/>
    <w:rsid w:val="00A16DC0"/>
    <w:rsid w:val="00A25DA0"/>
    <w:rsid w:val="00A3156A"/>
    <w:rsid w:val="00A315FE"/>
    <w:rsid w:val="00A31A9A"/>
    <w:rsid w:val="00A32B1E"/>
    <w:rsid w:val="00A45B96"/>
    <w:rsid w:val="00A52862"/>
    <w:rsid w:val="00A53515"/>
    <w:rsid w:val="00A55E85"/>
    <w:rsid w:val="00A6431E"/>
    <w:rsid w:val="00A65BA2"/>
    <w:rsid w:val="00A71969"/>
    <w:rsid w:val="00A75220"/>
    <w:rsid w:val="00A839A5"/>
    <w:rsid w:val="00A951CB"/>
    <w:rsid w:val="00AA44F1"/>
    <w:rsid w:val="00AA5D81"/>
    <w:rsid w:val="00AB3CD9"/>
    <w:rsid w:val="00AB4DC6"/>
    <w:rsid w:val="00AB6157"/>
    <w:rsid w:val="00AB6B63"/>
    <w:rsid w:val="00AC5070"/>
    <w:rsid w:val="00AD7409"/>
    <w:rsid w:val="00AE0906"/>
    <w:rsid w:val="00AE54B2"/>
    <w:rsid w:val="00AE5D94"/>
    <w:rsid w:val="00AE67B4"/>
    <w:rsid w:val="00AF045A"/>
    <w:rsid w:val="00AF56C5"/>
    <w:rsid w:val="00AF58DE"/>
    <w:rsid w:val="00B03646"/>
    <w:rsid w:val="00B10412"/>
    <w:rsid w:val="00B12C44"/>
    <w:rsid w:val="00B228FA"/>
    <w:rsid w:val="00B27EA2"/>
    <w:rsid w:val="00B309DF"/>
    <w:rsid w:val="00B322AC"/>
    <w:rsid w:val="00B4270B"/>
    <w:rsid w:val="00B44EF2"/>
    <w:rsid w:val="00B53AEB"/>
    <w:rsid w:val="00B54556"/>
    <w:rsid w:val="00B563E2"/>
    <w:rsid w:val="00B75C40"/>
    <w:rsid w:val="00B844BA"/>
    <w:rsid w:val="00B854EF"/>
    <w:rsid w:val="00B86A42"/>
    <w:rsid w:val="00B95275"/>
    <w:rsid w:val="00BA6E05"/>
    <w:rsid w:val="00BB35EC"/>
    <w:rsid w:val="00BB5088"/>
    <w:rsid w:val="00BB607D"/>
    <w:rsid w:val="00BC4058"/>
    <w:rsid w:val="00BD70DC"/>
    <w:rsid w:val="00BE2589"/>
    <w:rsid w:val="00BE46E4"/>
    <w:rsid w:val="00BE63C2"/>
    <w:rsid w:val="00BF206A"/>
    <w:rsid w:val="00BF30F3"/>
    <w:rsid w:val="00C02064"/>
    <w:rsid w:val="00C12BBA"/>
    <w:rsid w:val="00C13BD1"/>
    <w:rsid w:val="00C13EC6"/>
    <w:rsid w:val="00C1659B"/>
    <w:rsid w:val="00C24F73"/>
    <w:rsid w:val="00C31649"/>
    <w:rsid w:val="00C3166C"/>
    <w:rsid w:val="00C41C8B"/>
    <w:rsid w:val="00C4404F"/>
    <w:rsid w:val="00C5690C"/>
    <w:rsid w:val="00C60381"/>
    <w:rsid w:val="00C6150B"/>
    <w:rsid w:val="00C63A45"/>
    <w:rsid w:val="00C6551C"/>
    <w:rsid w:val="00C72A7F"/>
    <w:rsid w:val="00C77D95"/>
    <w:rsid w:val="00C926B3"/>
    <w:rsid w:val="00C942A2"/>
    <w:rsid w:val="00C969F9"/>
    <w:rsid w:val="00CA6345"/>
    <w:rsid w:val="00CB2E05"/>
    <w:rsid w:val="00CB53C0"/>
    <w:rsid w:val="00CC0A50"/>
    <w:rsid w:val="00CC1A29"/>
    <w:rsid w:val="00CC668C"/>
    <w:rsid w:val="00CC7E2C"/>
    <w:rsid w:val="00CD35D5"/>
    <w:rsid w:val="00CD7A75"/>
    <w:rsid w:val="00CE10D1"/>
    <w:rsid w:val="00CF0ADC"/>
    <w:rsid w:val="00CF0E7A"/>
    <w:rsid w:val="00CF7472"/>
    <w:rsid w:val="00D068E9"/>
    <w:rsid w:val="00D10017"/>
    <w:rsid w:val="00D1138F"/>
    <w:rsid w:val="00D13543"/>
    <w:rsid w:val="00D155A2"/>
    <w:rsid w:val="00D227DB"/>
    <w:rsid w:val="00D30A08"/>
    <w:rsid w:val="00D30B62"/>
    <w:rsid w:val="00D34E39"/>
    <w:rsid w:val="00D40C37"/>
    <w:rsid w:val="00D546DB"/>
    <w:rsid w:val="00D554E9"/>
    <w:rsid w:val="00D67CE7"/>
    <w:rsid w:val="00D72D4D"/>
    <w:rsid w:val="00D73CE8"/>
    <w:rsid w:val="00D73EA3"/>
    <w:rsid w:val="00D82AD2"/>
    <w:rsid w:val="00D90634"/>
    <w:rsid w:val="00D93B4E"/>
    <w:rsid w:val="00D9553A"/>
    <w:rsid w:val="00DA1796"/>
    <w:rsid w:val="00DA6F03"/>
    <w:rsid w:val="00DB14B9"/>
    <w:rsid w:val="00DB2A10"/>
    <w:rsid w:val="00DB4083"/>
    <w:rsid w:val="00DC05A4"/>
    <w:rsid w:val="00DC291B"/>
    <w:rsid w:val="00DC61C5"/>
    <w:rsid w:val="00DD0767"/>
    <w:rsid w:val="00DD1197"/>
    <w:rsid w:val="00DD2AB0"/>
    <w:rsid w:val="00DD3EBA"/>
    <w:rsid w:val="00DD7E19"/>
    <w:rsid w:val="00DE5631"/>
    <w:rsid w:val="00DE7A66"/>
    <w:rsid w:val="00DF72A0"/>
    <w:rsid w:val="00E0330C"/>
    <w:rsid w:val="00E079E3"/>
    <w:rsid w:val="00E14D59"/>
    <w:rsid w:val="00E157CA"/>
    <w:rsid w:val="00E16E9B"/>
    <w:rsid w:val="00E23949"/>
    <w:rsid w:val="00E2473A"/>
    <w:rsid w:val="00E33921"/>
    <w:rsid w:val="00E40379"/>
    <w:rsid w:val="00E45B23"/>
    <w:rsid w:val="00E51181"/>
    <w:rsid w:val="00E51524"/>
    <w:rsid w:val="00E67FB9"/>
    <w:rsid w:val="00E70236"/>
    <w:rsid w:val="00E7049E"/>
    <w:rsid w:val="00E7331D"/>
    <w:rsid w:val="00E7614B"/>
    <w:rsid w:val="00E962B2"/>
    <w:rsid w:val="00E97053"/>
    <w:rsid w:val="00EA170F"/>
    <w:rsid w:val="00EA2022"/>
    <w:rsid w:val="00EA569A"/>
    <w:rsid w:val="00EA5E22"/>
    <w:rsid w:val="00EB67EE"/>
    <w:rsid w:val="00EC2F13"/>
    <w:rsid w:val="00EC34AF"/>
    <w:rsid w:val="00ED31ED"/>
    <w:rsid w:val="00EE3391"/>
    <w:rsid w:val="00F01A06"/>
    <w:rsid w:val="00F02D8C"/>
    <w:rsid w:val="00F07281"/>
    <w:rsid w:val="00F10586"/>
    <w:rsid w:val="00F14986"/>
    <w:rsid w:val="00F1753A"/>
    <w:rsid w:val="00F20277"/>
    <w:rsid w:val="00F25D0E"/>
    <w:rsid w:val="00F261EB"/>
    <w:rsid w:val="00F4095A"/>
    <w:rsid w:val="00F45FB3"/>
    <w:rsid w:val="00F54A2E"/>
    <w:rsid w:val="00F559D5"/>
    <w:rsid w:val="00F60C48"/>
    <w:rsid w:val="00F61B3A"/>
    <w:rsid w:val="00F65289"/>
    <w:rsid w:val="00F71493"/>
    <w:rsid w:val="00F853E2"/>
    <w:rsid w:val="00F96FA5"/>
    <w:rsid w:val="00F978FA"/>
    <w:rsid w:val="00FA076E"/>
    <w:rsid w:val="00FA3413"/>
    <w:rsid w:val="00FB1B7C"/>
    <w:rsid w:val="00FB3435"/>
    <w:rsid w:val="00FC26E8"/>
    <w:rsid w:val="00FC660A"/>
    <w:rsid w:val="00FC6903"/>
    <w:rsid w:val="00FC6AEC"/>
    <w:rsid w:val="00FD1B72"/>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2DAD"/>
  <w15:chartTrackingRefBased/>
  <w15:docId w15:val="{01371682-C8E7-4366-9EB2-3E1418E7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FF"/>
    <w:pPr>
      <w:ind w:left="720"/>
      <w:contextualSpacing/>
    </w:pPr>
  </w:style>
  <w:style w:type="table" w:styleId="TableGrid">
    <w:name w:val="Table Grid"/>
    <w:basedOn w:val="TableNormal"/>
    <w:uiPriority w:val="39"/>
    <w:rsid w:val="00F6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556"/>
    <w:rPr>
      <w:sz w:val="20"/>
      <w:szCs w:val="20"/>
    </w:rPr>
  </w:style>
  <w:style w:type="character" w:styleId="FootnoteReference">
    <w:name w:val="footnote reference"/>
    <w:basedOn w:val="DefaultParagraphFont"/>
    <w:uiPriority w:val="99"/>
    <w:semiHidden/>
    <w:unhideWhenUsed/>
    <w:rsid w:val="00B54556"/>
    <w:rPr>
      <w:vertAlign w:val="superscript"/>
    </w:rPr>
  </w:style>
  <w:style w:type="character" w:styleId="Hyperlink">
    <w:name w:val="Hyperlink"/>
    <w:basedOn w:val="DefaultParagraphFont"/>
    <w:uiPriority w:val="99"/>
    <w:unhideWhenUsed/>
    <w:rsid w:val="00CC7E2C"/>
    <w:rPr>
      <w:color w:val="0563C1" w:themeColor="hyperlink"/>
      <w:u w:val="single"/>
    </w:rPr>
  </w:style>
  <w:style w:type="character" w:styleId="UnresolvedMention">
    <w:name w:val="Unresolved Mention"/>
    <w:basedOn w:val="DefaultParagraphFont"/>
    <w:uiPriority w:val="99"/>
    <w:semiHidden/>
    <w:unhideWhenUsed/>
    <w:rsid w:val="00CC7E2C"/>
    <w:rPr>
      <w:color w:val="605E5C"/>
      <w:shd w:val="clear" w:color="auto" w:fill="E1DFDD"/>
    </w:rPr>
  </w:style>
  <w:style w:type="paragraph" w:styleId="Revision">
    <w:name w:val="Revision"/>
    <w:hidden/>
    <w:uiPriority w:val="99"/>
    <w:semiHidden/>
    <w:rsid w:val="0091573C"/>
    <w:pPr>
      <w:spacing w:after="0" w:line="240" w:lineRule="auto"/>
    </w:pPr>
  </w:style>
  <w:style w:type="character" w:styleId="CommentReference">
    <w:name w:val="annotation reference"/>
    <w:basedOn w:val="DefaultParagraphFont"/>
    <w:uiPriority w:val="99"/>
    <w:semiHidden/>
    <w:unhideWhenUsed/>
    <w:rsid w:val="00042F76"/>
    <w:rPr>
      <w:sz w:val="16"/>
      <w:szCs w:val="16"/>
    </w:rPr>
  </w:style>
  <w:style w:type="paragraph" w:styleId="CommentText">
    <w:name w:val="annotation text"/>
    <w:basedOn w:val="Normal"/>
    <w:link w:val="CommentTextChar"/>
    <w:uiPriority w:val="99"/>
    <w:unhideWhenUsed/>
    <w:rsid w:val="00042F76"/>
    <w:pPr>
      <w:spacing w:line="240" w:lineRule="auto"/>
    </w:pPr>
    <w:rPr>
      <w:sz w:val="20"/>
      <w:szCs w:val="20"/>
    </w:rPr>
  </w:style>
  <w:style w:type="character" w:customStyle="1" w:styleId="CommentTextChar">
    <w:name w:val="Comment Text Char"/>
    <w:basedOn w:val="DefaultParagraphFont"/>
    <w:link w:val="CommentText"/>
    <w:uiPriority w:val="99"/>
    <w:rsid w:val="00042F76"/>
    <w:rPr>
      <w:sz w:val="20"/>
      <w:szCs w:val="20"/>
    </w:rPr>
  </w:style>
  <w:style w:type="paragraph" w:styleId="CommentSubject">
    <w:name w:val="annotation subject"/>
    <w:basedOn w:val="CommentText"/>
    <w:next w:val="CommentText"/>
    <w:link w:val="CommentSubjectChar"/>
    <w:uiPriority w:val="99"/>
    <w:semiHidden/>
    <w:unhideWhenUsed/>
    <w:rsid w:val="00042F76"/>
    <w:rPr>
      <w:b/>
      <w:bCs/>
    </w:rPr>
  </w:style>
  <w:style w:type="character" w:customStyle="1" w:styleId="CommentSubjectChar">
    <w:name w:val="Comment Subject Char"/>
    <w:basedOn w:val="CommentTextChar"/>
    <w:link w:val="CommentSubject"/>
    <w:uiPriority w:val="99"/>
    <w:semiHidden/>
    <w:rsid w:val="00042F76"/>
    <w:rPr>
      <w:b/>
      <w:bCs/>
      <w:sz w:val="20"/>
      <w:szCs w:val="20"/>
    </w:rPr>
  </w:style>
  <w:style w:type="paragraph" w:styleId="BalloonText">
    <w:name w:val="Balloon Text"/>
    <w:basedOn w:val="Normal"/>
    <w:link w:val="BalloonTextChar"/>
    <w:uiPriority w:val="99"/>
    <w:semiHidden/>
    <w:unhideWhenUsed/>
    <w:rsid w:val="00C44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4F"/>
    <w:rPr>
      <w:rFonts w:ascii="Segoe UI" w:hAnsi="Segoe UI" w:cs="Segoe UI"/>
      <w:sz w:val="18"/>
      <w:szCs w:val="18"/>
    </w:rPr>
  </w:style>
  <w:style w:type="paragraph" w:styleId="Header">
    <w:name w:val="header"/>
    <w:basedOn w:val="Normal"/>
    <w:link w:val="HeaderChar"/>
    <w:uiPriority w:val="99"/>
    <w:unhideWhenUsed/>
    <w:rsid w:val="00E23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49"/>
  </w:style>
  <w:style w:type="paragraph" w:styleId="Footer">
    <w:name w:val="footer"/>
    <w:basedOn w:val="Normal"/>
    <w:link w:val="FooterChar"/>
    <w:uiPriority w:val="99"/>
    <w:unhideWhenUsed/>
    <w:rsid w:val="00E23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Publications/Publications-and-Key-Documents/Cross-Cutting/EETT%20White%20Paper%20V1.1%202023-12-04.pdf" TargetMode="External"/><Relationship Id="rId3" Type="http://schemas.openxmlformats.org/officeDocument/2006/relationships/settings" Target="settings.xml"/><Relationship Id="rId7" Type="http://schemas.openxmlformats.org/officeDocument/2006/relationships/hyperlink" Target="https://ceos.org/document_management/Publications/Governing_Docs/Virtual-Constellations_Process%20Paper_rev1-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 Gary N (US 398P)</dc:creator>
  <cp:keywords/>
  <dc:description/>
  <cp:lastModifiedBy>Geller, Gary N (US 398P)</cp:lastModifiedBy>
  <cp:revision>13</cp:revision>
  <cp:lastPrinted>2025-07-08T22:50:00Z</cp:lastPrinted>
  <dcterms:created xsi:type="dcterms:W3CDTF">2025-08-26T00:11:00Z</dcterms:created>
  <dcterms:modified xsi:type="dcterms:W3CDTF">2025-08-26T19:24:00Z</dcterms:modified>
</cp:coreProperties>
</file>