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0" w:line="279" w:lineRule="auto"/>
        <w:ind w:left="0" w:right="0" w:firstLine="0"/>
        <w:jc w:val="center"/>
        <w:rPr>
          <w:b w:val="1"/>
          <w:sz w:val="32"/>
          <w:szCs w:val="32"/>
        </w:rPr>
      </w:pPr>
      <w:r w:rsidDel="00000000" w:rsidR="00000000" w:rsidRPr="00000000">
        <w:rPr>
          <w:b w:val="1"/>
          <w:sz w:val="32"/>
          <w:szCs w:val="32"/>
          <w:rtl w:val="0"/>
        </w:rPr>
        <w:t xml:space="preserve">Concept Note</w:t>
      </w:r>
    </w:p>
    <w:p w:rsidR="00000000" w:rsidDel="00000000" w:rsidP="00000000" w:rsidRDefault="00000000" w:rsidRPr="00000000" w14:paraId="00000002">
      <w:pPr>
        <w:spacing w:after="160" w:before="0" w:line="279" w:lineRule="auto"/>
        <w:ind w:left="0" w:right="0" w:firstLine="0"/>
        <w:jc w:val="center"/>
        <w:rPr>
          <w:b w:val="1"/>
          <w:sz w:val="32"/>
          <w:szCs w:val="32"/>
        </w:rPr>
      </w:pPr>
      <w:r w:rsidDel="00000000" w:rsidR="00000000" w:rsidRPr="00000000">
        <w:rPr>
          <w:b w:val="1"/>
          <w:sz w:val="32"/>
          <w:szCs w:val="32"/>
          <w:rtl w:val="0"/>
        </w:rPr>
        <w:t xml:space="preserve">Unlocking commercial EO archives for public use</w:t>
      </w:r>
    </w:p>
    <w:p w:rsidR="00000000" w:rsidDel="00000000" w:rsidP="00000000" w:rsidRDefault="00000000" w:rsidRPr="00000000" w14:paraId="00000003">
      <w:pPr>
        <w:spacing w:after="160" w:before="0" w:line="279" w:lineRule="auto"/>
        <w:ind w:left="0" w:right="0" w:firstLine="0"/>
        <w:jc w:val="left"/>
        <w:rPr/>
      </w:pPr>
      <w:r w:rsidDel="00000000" w:rsidR="00000000" w:rsidRPr="00000000">
        <w:rPr>
          <w:rtl w:val="0"/>
        </w:rPr>
      </w:r>
    </w:p>
    <w:p w:rsidR="00000000" w:rsidDel="00000000" w:rsidP="00000000" w:rsidRDefault="00000000" w:rsidRPr="00000000" w14:paraId="00000004">
      <w:pPr>
        <w:spacing w:after="160" w:before="0" w:line="279" w:lineRule="auto"/>
        <w:ind w:left="0" w:right="0" w:firstLine="0"/>
        <w:jc w:val="left"/>
        <w:rPr>
          <w:b w:val="1"/>
        </w:rPr>
      </w:pPr>
      <w:r w:rsidDel="00000000" w:rsidR="00000000" w:rsidRPr="00000000">
        <w:rPr>
          <w:b w:val="1"/>
          <w:rtl w:val="0"/>
        </w:rPr>
        <w:t xml:space="preserve">Agenda</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75"/>
        <w:gridCol w:w="2985"/>
        <w:tblGridChange w:id="0">
          <w:tblGrid>
            <w:gridCol w:w="6375"/>
            <w:gridCol w:w="2985"/>
          </w:tblGrid>
        </w:tblGridChange>
      </w:tblGrid>
      <w:tr>
        <w:trPr>
          <w:cantSplit w:val="0"/>
          <w:trHeight w:val="300" w:hRule="atLeast"/>
          <w:tblHeader w:val="0"/>
        </w:trPr>
        <w:tc>
          <w:tcPr/>
          <w:p w:rsidR="00000000" w:rsidDel="00000000" w:rsidP="00000000" w:rsidRDefault="00000000" w:rsidRPr="00000000" w14:paraId="00000005">
            <w:pPr>
              <w:rPr>
                <w:b w:val="1"/>
              </w:rPr>
            </w:pPr>
            <w:r w:rsidDel="00000000" w:rsidR="00000000" w:rsidRPr="00000000">
              <w:rPr>
                <w:b w:val="1"/>
                <w:rtl w:val="0"/>
              </w:rPr>
              <w:t xml:space="preserve">Topic</w:t>
            </w:r>
          </w:p>
        </w:tc>
        <w:tc>
          <w:tcPr/>
          <w:p w:rsidR="00000000" w:rsidDel="00000000" w:rsidP="00000000" w:rsidRDefault="00000000" w:rsidRPr="00000000" w14:paraId="00000006">
            <w:pPr>
              <w:rPr>
                <w:b w:val="1"/>
              </w:rPr>
            </w:pPr>
            <w:r w:rsidDel="00000000" w:rsidR="00000000" w:rsidRPr="00000000">
              <w:rPr>
                <w:b w:val="1"/>
                <w:rtl w:val="0"/>
              </w:rPr>
              <w:t xml:space="preserve">Time (JST)</w:t>
            </w:r>
          </w:p>
        </w:tc>
      </w:tr>
      <w:tr>
        <w:trPr>
          <w:cantSplit w:val="0"/>
          <w:trHeight w:val="300" w:hRule="atLeast"/>
          <w:tblHeader w:val="0"/>
        </w:trPr>
        <w:tc>
          <w:tcPr/>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Welcome</w:t>
            </w:r>
          </w:p>
        </w:tc>
        <w:tc>
          <w:tcPr/>
          <w:p w:rsidR="00000000" w:rsidDel="00000000" w:rsidP="00000000" w:rsidRDefault="00000000" w:rsidRPr="00000000" w14:paraId="00000008">
            <w:pPr>
              <w:rPr/>
            </w:pPr>
            <w:r w:rsidDel="00000000" w:rsidR="00000000" w:rsidRPr="00000000">
              <w:rPr>
                <w:rtl w:val="0"/>
              </w:rPr>
              <w:t xml:space="preserve">14:15</w:t>
            </w:r>
          </w:p>
        </w:tc>
      </w:tr>
      <w:tr>
        <w:trPr>
          <w:cantSplit w:val="0"/>
          <w:trHeight w:val="300" w:hRule="atLeast"/>
          <w:tblHeader w:val="0"/>
        </w:trPr>
        <w:tc>
          <w:tcPr/>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Introduction</w:t>
            </w:r>
          </w:p>
        </w:tc>
        <w:tc>
          <w:tcPr/>
          <w:p w:rsidR="00000000" w:rsidDel="00000000" w:rsidP="00000000" w:rsidRDefault="00000000" w:rsidRPr="00000000" w14:paraId="0000000A">
            <w:pPr>
              <w:rPr/>
            </w:pPr>
            <w:r w:rsidDel="00000000" w:rsidR="00000000" w:rsidRPr="00000000">
              <w:rPr>
                <w:rtl w:val="0"/>
              </w:rPr>
              <w:t xml:space="preserve">14:17</w:t>
            </w:r>
          </w:p>
        </w:tc>
      </w:tr>
      <w:tr>
        <w:trPr>
          <w:cantSplit w:val="0"/>
          <w:trHeight w:val="300" w:hRule="atLeast"/>
          <w:tblHeader w:val="0"/>
        </w:trPr>
        <w:tc>
          <w:tcPr/>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0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Existing processes </w:t>
            </w:r>
          </w:p>
          <w:p w:rsidR="00000000" w:rsidDel="00000000" w:rsidP="00000000" w:rsidRDefault="00000000" w:rsidRPr="00000000" w14:paraId="000000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Proposed format</w:t>
            </w:r>
          </w:p>
          <w:p w:rsidR="00000000" w:rsidDel="00000000" w:rsidP="00000000" w:rsidRDefault="00000000" w:rsidRPr="00000000" w14:paraId="000000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9"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Development of proposal</w:t>
            </w:r>
          </w:p>
        </w:tc>
        <w:tc>
          <w:tcPr/>
          <w:p w:rsidR="00000000" w:rsidDel="00000000" w:rsidP="00000000" w:rsidRDefault="00000000" w:rsidRPr="00000000" w14:paraId="0000000F">
            <w:pPr>
              <w:rPr/>
            </w:pPr>
            <w:r w:rsidDel="00000000" w:rsidR="00000000" w:rsidRPr="00000000">
              <w:rPr>
                <w:rtl w:val="0"/>
              </w:rPr>
              <w:t xml:space="preserve">14:20</w:t>
            </w:r>
          </w:p>
        </w:tc>
      </w:tr>
      <w:tr>
        <w:trPr>
          <w:cantSplit w:val="0"/>
          <w:trHeight w:val="300" w:hRule="atLeast"/>
          <w:tblHeader w:val="0"/>
        </w:trPr>
        <w:tc>
          <w:tcPr/>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Next Steps, review of actions</w:t>
            </w:r>
          </w:p>
        </w:tc>
        <w:tc>
          <w:tcPr/>
          <w:p w:rsidR="00000000" w:rsidDel="00000000" w:rsidP="00000000" w:rsidRDefault="00000000" w:rsidRPr="00000000" w14:paraId="00000011">
            <w:pPr>
              <w:rPr/>
            </w:pPr>
            <w:r w:rsidDel="00000000" w:rsidR="00000000" w:rsidRPr="00000000">
              <w:rPr>
                <w:rtl w:val="0"/>
              </w:rPr>
              <w:t xml:space="preserve">14:40</w:t>
            </w:r>
          </w:p>
        </w:tc>
      </w:tr>
      <w:tr>
        <w:trPr>
          <w:cantSplit w:val="0"/>
          <w:trHeight w:val="300" w:hRule="atLeast"/>
          <w:tblHeader w:val="0"/>
        </w:trPr>
        <w:tc>
          <w:tcPr/>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Adjournment</w:t>
            </w:r>
          </w:p>
        </w:tc>
        <w:tc>
          <w:tcPr/>
          <w:p w:rsidR="00000000" w:rsidDel="00000000" w:rsidP="00000000" w:rsidRDefault="00000000" w:rsidRPr="00000000" w14:paraId="00000013">
            <w:pPr>
              <w:rPr/>
            </w:pPr>
            <w:r w:rsidDel="00000000" w:rsidR="00000000" w:rsidRPr="00000000">
              <w:rPr>
                <w:rtl w:val="0"/>
              </w:rPr>
              <w:t xml:space="preserve">14:</w:t>
            </w:r>
            <w:r w:rsidDel="00000000" w:rsidR="00000000" w:rsidRPr="00000000">
              <w:rPr>
                <w:rtl w:val="0"/>
              </w:rPr>
              <w:t xml:space="preserve">45</w:t>
            </w:r>
          </w:p>
        </w:tc>
      </w:tr>
    </w:tbl>
    <w:p w:rsidR="00000000" w:rsidDel="00000000" w:rsidP="00000000" w:rsidRDefault="00000000" w:rsidRPr="00000000" w14:paraId="00000014">
      <w:pPr>
        <w:spacing w:after="160" w:before="0" w:line="279" w:lineRule="auto"/>
        <w:ind w:left="0" w:right="0" w:firstLine="0"/>
        <w:jc w:val="left"/>
        <w:rPr>
          <w:b w:val="1"/>
        </w:rPr>
      </w:pPr>
      <w:r w:rsidDel="00000000" w:rsidR="00000000" w:rsidRPr="00000000">
        <w:rPr>
          <w:rtl w:val="0"/>
        </w:rPr>
      </w:r>
    </w:p>
    <w:p w:rsidR="00000000" w:rsidDel="00000000" w:rsidP="00000000" w:rsidRDefault="00000000" w:rsidRPr="00000000" w14:paraId="00000015">
      <w:pPr>
        <w:spacing w:after="160" w:before="0" w:line="279" w:lineRule="auto"/>
        <w:ind w:left="0" w:right="0" w:firstLine="0"/>
        <w:jc w:val="left"/>
        <w:rPr>
          <w:b w:val="1"/>
        </w:rPr>
      </w:pPr>
      <w:r w:rsidDel="00000000" w:rsidR="00000000" w:rsidRPr="00000000">
        <w:rPr>
          <w:rtl w:val="0"/>
        </w:rPr>
      </w:r>
    </w:p>
    <w:p w:rsidR="00000000" w:rsidDel="00000000" w:rsidP="00000000" w:rsidRDefault="00000000" w:rsidRPr="00000000" w14:paraId="00000016">
      <w:pPr>
        <w:spacing w:after="160" w:before="0" w:line="279" w:lineRule="auto"/>
        <w:ind w:left="0" w:right="0" w:firstLine="0"/>
        <w:jc w:val="left"/>
        <w:rPr>
          <w:b w:val="1"/>
        </w:rPr>
      </w:pPr>
      <w:r w:rsidDel="00000000" w:rsidR="00000000" w:rsidRPr="00000000">
        <w:rPr>
          <w:b w:val="1"/>
          <w:rtl w:val="0"/>
        </w:rPr>
        <w:t xml:space="preserve">Annex I: Meeting Concept</w:t>
      </w:r>
    </w:p>
    <w:p w:rsidR="00000000" w:rsidDel="00000000" w:rsidP="00000000" w:rsidRDefault="00000000" w:rsidRPr="00000000" w14:paraId="00000017">
      <w:pPr>
        <w:spacing w:after="160" w:before="0" w:line="279" w:lineRule="auto"/>
        <w:ind w:left="0" w:right="0" w:firstLine="0"/>
        <w:jc w:val="center"/>
        <w:rPr>
          <w:b w:val="1"/>
          <w:i w:val="1"/>
          <w:sz w:val="32"/>
          <w:szCs w:val="32"/>
        </w:rPr>
      </w:pPr>
      <w:r w:rsidDel="00000000" w:rsidR="00000000" w:rsidRPr="00000000">
        <w:rPr>
          <w:b w:val="1"/>
          <w:i w:val="1"/>
          <w:sz w:val="32"/>
          <w:szCs w:val="32"/>
          <w:rtl w:val="0"/>
        </w:rPr>
        <w:t xml:space="preserve">Unlocking commercial EO archives for public use</w:t>
      </w:r>
    </w:p>
    <w:p w:rsidR="00000000" w:rsidDel="00000000" w:rsidP="00000000" w:rsidRDefault="00000000" w:rsidRPr="00000000" w14:paraId="00000018">
      <w:pPr>
        <w:spacing w:after="160" w:before="0" w:line="279" w:lineRule="auto"/>
        <w:ind w:left="0" w:right="0" w:firstLine="0"/>
        <w:jc w:val="left"/>
        <w:rPr>
          <w:b w:val="1"/>
          <w:i w:val="0"/>
          <w:sz w:val="22"/>
          <w:szCs w:val="22"/>
        </w:rPr>
      </w:pPr>
      <w:r w:rsidDel="00000000" w:rsidR="00000000" w:rsidRPr="00000000">
        <w:rPr>
          <w:b w:val="1"/>
          <w:i w:val="0"/>
          <w:sz w:val="22"/>
          <w:szCs w:val="22"/>
          <w:rtl w:val="0"/>
        </w:rPr>
        <w:t xml:space="preserve">Leads: </w:t>
      </w:r>
      <w:r w:rsidDel="00000000" w:rsidR="00000000" w:rsidRPr="00000000">
        <w:rPr>
          <w:b w:val="0"/>
          <w:i w:val="0"/>
          <w:sz w:val="22"/>
          <w:szCs w:val="22"/>
          <w:rtl w:val="0"/>
        </w:rPr>
        <w:t xml:space="preserve">LSI-VC co-leads</w:t>
      </w:r>
      <w:r w:rsidDel="00000000" w:rsidR="00000000" w:rsidRPr="00000000">
        <w:rPr>
          <w:rtl w:val="0"/>
        </w:rPr>
      </w:r>
    </w:p>
    <w:p w:rsidR="00000000" w:rsidDel="00000000" w:rsidP="00000000" w:rsidRDefault="00000000" w:rsidRPr="00000000" w14:paraId="00000019">
      <w:pPr>
        <w:spacing w:after="160" w:before="0" w:line="279" w:lineRule="auto"/>
        <w:ind w:left="0" w:right="0" w:firstLine="0"/>
        <w:jc w:val="left"/>
        <w:rPr>
          <w:b w:val="0"/>
          <w:i w:val="0"/>
          <w:sz w:val="22"/>
          <w:szCs w:val="22"/>
        </w:rPr>
      </w:pPr>
      <w:r w:rsidDel="00000000" w:rsidR="00000000" w:rsidRPr="00000000">
        <w:rPr>
          <w:b w:val="1"/>
          <w:i w:val="0"/>
          <w:sz w:val="22"/>
          <w:szCs w:val="22"/>
          <w:rtl w:val="0"/>
        </w:rPr>
        <w:t xml:space="preserve">Date &amp; Time: </w:t>
      </w:r>
      <w:r w:rsidDel="00000000" w:rsidR="00000000" w:rsidRPr="00000000">
        <w:rPr>
          <w:b w:val="0"/>
          <w:i w:val="0"/>
          <w:sz w:val="22"/>
          <w:szCs w:val="22"/>
          <w:rtl w:val="0"/>
        </w:rPr>
        <w:t xml:space="preserve">16</w:t>
      </w:r>
      <w:r w:rsidDel="00000000" w:rsidR="00000000" w:rsidRPr="00000000">
        <w:rPr>
          <w:b w:val="0"/>
          <w:i w:val="0"/>
          <w:sz w:val="22"/>
          <w:szCs w:val="22"/>
          <w:vertAlign w:val="superscript"/>
          <w:rtl w:val="0"/>
        </w:rPr>
        <w:t xml:space="preserve">th</w:t>
      </w:r>
      <w:r w:rsidDel="00000000" w:rsidR="00000000" w:rsidRPr="00000000">
        <w:rPr>
          <w:b w:val="0"/>
          <w:i w:val="0"/>
          <w:sz w:val="22"/>
          <w:szCs w:val="22"/>
          <w:rtl w:val="0"/>
        </w:rPr>
        <w:t xml:space="preserve"> April 2025, 11:30am - 12:</w:t>
      </w:r>
      <w:r w:rsidDel="00000000" w:rsidR="00000000" w:rsidRPr="00000000">
        <w:rPr>
          <w:sz w:val="22"/>
          <w:szCs w:val="22"/>
          <w:rtl w:val="0"/>
        </w:rPr>
        <w:t xml:space="preserve">00pm</w:t>
      </w:r>
      <w:r w:rsidDel="00000000" w:rsidR="00000000" w:rsidRPr="00000000">
        <w:rPr>
          <w:rtl w:val="0"/>
        </w:rPr>
      </w:r>
    </w:p>
    <w:p w:rsidR="00000000" w:rsidDel="00000000" w:rsidP="00000000" w:rsidRDefault="00000000" w:rsidRPr="00000000" w14:paraId="0000001A">
      <w:pPr>
        <w:spacing w:after="160" w:before="0" w:line="279" w:lineRule="auto"/>
        <w:ind w:left="0" w:right="0" w:firstLine="0"/>
        <w:jc w:val="left"/>
        <w:rPr>
          <w:b w:val="0"/>
          <w:i w:val="0"/>
          <w:sz w:val="22"/>
          <w:szCs w:val="22"/>
        </w:rPr>
      </w:pPr>
      <w:r w:rsidDel="00000000" w:rsidR="00000000" w:rsidRPr="00000000">
        <w:rPr>
          <w:b w:val="1"/>
          <w:i w:val="0"/>
          <w:sz w:val="22"/>
          <w:szCs w:val="22"/>
          <w:rtl w:val="0"/>
        </w:rPr>
        <w:t xml:space="preserve">Location: </w:t>
      </w:r>
      <w:r w:rsidDel="00000000" w:rsidR="00000000" w:rsidRPr="00000000">
        <w:rPr>
          <w:b w:val="0"/>
          <w:i w:val="0"/>
          <w:sz w:val="22"/>
          <w:szCs w:val="22"/>
          <w:rtl w:val="0"/>
        </w:rPr>
        <w:t xml:space="preserve"> JAXA Tsukuba Space Center, 2-1-1 Sengen, Tsukuba-shi, Ibaraki 305-8505 Japan. Meeting Room A, 2nd Floor in C-1. Headquarters Building</w:t>
      </w:r>
    </w:p>
    <w:p w:rsidR="00000000" w:rsidDel="00000000" w:rsidP="00000000" w:rsidRDefault="00000000" w:rsidRPr="00000000" w14:paraId="0000001B">
      <w:pPr>
        <w:spacing w:after="160" w:before="0" w:line="279" w:lineRule="auto"/>
        <w:ind w:left="0" w:right="0" w:firstLine="0"/>
        <w:jc w:val="left"/>
        <w:rPr>
          <w:b w:val="1"/>
          <w:i w:val="0"/>
          <w:sz w:val="22"/>
          <w:szCs w:val="22"/>
        </w:rPr>
      </w:pPr>
      <w:r w:rsidDel="00000000" w:rsidR="00000000" w:rsidRPr="00000000">
        <w:rPr>
          <w:b w:val="1"/>
          <w:i w:val="0"/>
          <w:sz w:val="22"/>
          <w:szCs w:val="22"/>
          <w:rtl w:val="0"/>
        </w:rPr>
        <w:t xml:space="preserve">Meeting room A (HQ bldg. 2F) </w:t>
      </w:r>
    </w:p>
    <w:p w:rsidR="00000000" w:rsidDel="00000000" w:rsidP="00000000" w:rsidRDefault="00000000" w:rsidRPr="00000000" w14:paraId="0000001C">
      <w:pPr>
        <w:spacing w:after="160" w:before="0" w:line="279" w:lineRule="auto"/>
        <w:ind w:left="0" w:right="0" w:firstLine="0"/>
        <w:jc w:val="left"/>
        <w:rPr>
          <w:b w:val="0"/>
          <w:i w:val="0"/>
          <w:sz w:val="22"/>
          <w:szCs w:val="22"/>
        </w:rPr>
      </w:pPr>
      <w:r w:rsidDel="00000000" w:rsidR="00000000" w:rsidRPr="00000000">
        <w:rPr>
          <w:b w:val="0"/>
          <w:i w:val="0"/>
          <w:sz w:val="22"/>
          <w:szCs w:val="22"/>
          <w:rtl w:val="0"/>
        </w:rPr>
        <w:t xml:space="preserve">Virtual meeting link: </w:t>
      </w:r>
      <w:hyperlink r:id="rId7">
        <w:r w:rsidDel="00000000" w:rsidR="00000000" w:rsidRPr="00000000">
          <w:rPr>
            <w:b w:val="0"/>
            <w:i w:val="0"/>
            <w:color w:val="1155cc"/>
            <w:sz w:val="22"/>
            <w:szCs w:val="22"/>
            <w:u w:val="single"/>
            <w:rtl w:val="0"/>
          </w:rPr>
          <w:t xml:space="preserve">https://ceos.my.webex.com/meet/ceoswebex1</w:t>
        </w:r>
      </w:hyperlink>
      <w:r w:rsidDel="00000000" w:rsidR="00000000" w:rsidRPr="00000000">
        <w:rPr>
          <w:b w:val="0"/>
          <w:i w:val="0"/>
          <w:sz w:val="22"/>
          <w:szCs w:val="22"/>
          <w:rtl w:val="0"/>
        </w:rPr>
        <w:t xml:space="preserve">   </w:t>
      </w:r>
    </w:p>
    <w:p w:rsidR="00000000" w:rsidDel="00000000" w:rsidP="00000000" w:rsidRDefault="00000000" w:rsidRPr="00000000" w14:paraId="0000001D">
      <w:pPr>
        <w:spacing w:after="160" w:before="0" w:line="279" w:lineRule="auto"/>
        <w:ind w:left="0" w:right="0" w:firstLine="0"/>
        <w:jc w:val="left"/>
        <w:rPr>
          <w:b w:val="0"/>
          <w:i w:val="0"/>
          <w:sz w:val="22"/>
          <w:szCs w:val="22"/>
        </w:rPr>
      </w:pPr>
      <w:r w:rsidDel="00000000" w:rsidR="00000000" w:rsidRPr="00000000">
        <w:rPr>
          <w:b w:val="0"/>
          <w:i w:val="0"/>
          <w:sz w:val="22"/>
          <w:szCs w:val="22"/>
          <w:rtl w:val="0"/>
        </w:rPr>
        <w:t xml:space="preserve">Meeting number: 2554 498 5768</w:t>
      </w:r>
    </w:p>
    <w:p w:rsidR="00000000" w:rsidDel="00000000" w:rsidP="00000000" w:rsidRDefault="00000000" w:rsidRPr="00000000" w14:paraId="0000001E">
      <w:pPr>
        <w:spacing w:after="160" w:before="0" w:line="279" w:lineRule="auto"/>
        <w:ind w:left="0" w:right="0" w:firstLine="0"/>
        <w:jc w:val="left"/>
        <w:rPr>
          <w:b w:val="0"/>
          <w:i w:val="0"/>
          <w:sz w:val="22"/>
          <w:szCs w:val="22"/>
        </w:rPr>
      </w:pPr>
      <w:r w:rsidDel="00000000" w:rsidR="00000000" w:rsidRPr="00000000">
        <w:rPr>
          <w:b w:val="1"/>
          <w:i w:val="0"/>
          <w:sz w:val="22"/>
          <w:szCs w:val="22"/>
          <w:rtl w:val="0"/>
        </w:rPr>
        <w:t xml:space="preserve">Expected participants/Target Audience: </w:t>
      </w:r>
      <w:r w:rsidDel="00000000" w:rsidR="00000000" w:rsidRPr="00000000">
        <w:rPr>
          <w:b w:val="0"/>
          <w:i w:val="0"/>
          <w:sz w:val="22"/>
          <w:szCs w:val="22"/>
          <w:rtl w:val="0"/>
        </w:rPr>
        <w:t xml:space="preserve">LSI-VC members and guests</w:t>
      </w:r>
      <w:r w:rsidDel="00000000" w:rsidR="00000000" w:rsidRPr="00000000">
        <w:rPr>
          <w:rtl w:val="0"/>
        </w:rPr>
      </w:r>
    </w:p>
    <w:p w:rsidR="00000000" w:rsidDel="00000000" w:rsidP="00000000" w:rsidRDefault="00000000" w:rsidRPr="00000000" w14:paraId="0000001F">
      <w:pPr>
        <w:spacing w:after="160" w:before="0" w:line="279" w:lineRule="auto"/>
        <w:ind w:left="0" w:right="0" w:firstLine="0"/>
        <w:jc w:val="left"/>
        <w:rPr>
          <w:b w:val="0"/>
          <w:i w:val="0"/>
          <w:sz w:val="22"/>
          <w:szCs w:val="22"/>
        </w:rPr>
      </w:pPr>
      <w:r w:rsidDel="00000000" w:rsidR="00000000" w:rsidRPr="00000000">
        <w:rPr>
          <w:b w:val="1"/>
          <w:i w:val="0"/>
          <w:sz w:val="22"/>
          <w:szCs w:val="22"/>
          <w:rtl w:val="0"/>
        </w:rPr>
        <w:t xml:space="preserve">Purpose:</w:t>
      </w:r>
      <w:r w:rsidDel="00000000" w:rsidR="00000000" w:rsidRPr="00000000">
        <w:rPr>
          <w:b w:val="0"/>
          <w:i w:val="0"/>
          <w:sz w:val="22"/>
          <w:szCs w:val="22"/>
          <w:rtl w:val="0"/>
        </w:rPr>
        <w:t xml:space="preserve"> To facilitate open discussions between CEOS members in LSI-VC and develop a proposal to provide a framework and interface for CEOS agencies that are interested in unlocking commercial archives for public use. The session will identify established processes, highlight ongoing barriers and future opportunities, and develop a proposal to support users.</w:t>
      </w:r>
    </w:p>
    <w:p w:rsidR="00000000" w:rsidDel="00000000" w:rsidP="00000000" w:rsidRDefault="00000000" w:rsidRPr="00000000" w14:paraId="00000020">
      <w:pPr>
        <w:spacing w:after="160" w:before="0" w:line="279" w:lineRule="auto"/>
        <w:ind w:left="0" w:right="0" w:firstLine="0"/>
        <w:jc w:val="left"/>
        <w:rPr>
          <w:b w:val="0"/>
          <w:i w:val="0"/>
          <w:sz w:val="22"/>
          <w:szCs w:val="22"/>
        </w:rPr>
      </w:pPr>
      <w:r w:rsidDel="00000000" w:rsidR="00000000" w:rsidRPr="00000000">
        <w:rPr>
          <w:b w:val="1"/>
          <w:i w:val="0"/>
          <w:sz w:val="22"/>
          <w:szCs w:val="22"/>
          <w:rtl w:val="0"/>
        </w:rPr>
        <w:t xml:space="preserve">Justification</w:t>
      </w:r>
      <w:r w:rsidDel="00000000" w:rsidR="00000000" w:rsidRPr="00000000">
        <w:rPr>
          <w:b w:val="0"/>
          <w:i w:val="0"/>
          <w:sz w:val="22"/>
          <w:szCs w:val="22"/>
          <w:rtl w:val="0"/>
        </w:rPr>
        <w:t xml:space="preserve">: </w:t>
      </w:r>
      <w:r w:rsidDel="00000000" w:rsidR="00000000" w:rsidRPr="00000000">
        <w:rPr>
          <w:sz w:val="22"/>
          <w:szCs w:val="22"/>
          <w:rtl w:val="0"/>
        </w:rPr>
        <w:t xml:space="preserve">It would perhaps be a useful role for the CEOS LSI-VC to maintain a</w:t>
      </w:r>
      <w:r w:rsidDel="00000000" w:rsidR="00000000" w:rsidRPr="00000000">
        <w:rPr>
          <w:b w:val="0"/>
          <w:i w:val="0"/>
          <w:sz w:val="22"/>
          <w:szCs w:val="22"/>
          <w:rtl w:val="0"/>
        </w:rPr>
        <w:t xml:space="preserve"> catalogue </w:t>
      </w:r>
      <w:r w:rsidDel="00000000" w:rsidR="00000000" w:rsidRPr="00000000">
        <w:rPr>
          <w:sz w:val="22"/>
          <w:szCs w:val="22"/>
          <w:rtl w:val="0"/>
        </w:rPr>
        <w:t xml:space="preserve">of</w:t>
      </w:r>
      <w:r w:rsidDel="00000000" w:rsidR="00000000" w:rsidRPr="00000000">
        <w:rPr>
          <w:b w:val="0"/>
          <w:i w:val="0"/>
          <w:sz w:val="22"/>
          <w:szCs w:val="22"/>
          <w:rtl w:val="0"/>
        </w:rPr>
        <w:t xml:space="preserve"> archive </w:t>
      </w:r>
      <w:r w:rsidDel="00000000" w:rsidR="00000000" w:rsidRPr="00000000">
        <w:rPr>
          <w:sz w:val="22"/>
          <w:szCs w:val="22"/>
          <w:rtl w:val="0"/>
        </w:rPr>
        <w:t xml:space="preserve">buyout</w:t>
      </w:r>
      <w:r w:rsidDel="00000000" w:rsidR="00000000" w:rsidRPr="00000000">
        <w:rPr>
          <w:b w:val="0"/>
          <w:i w:val="0"/>
          <w:sz w:val="22"/>
          <w:szCs w:val="22"/>
          <w:rtl w:val="0"/>
        </w:rPr>
        <w:t xml:space="preserve"> opportunities from commercial entities. It is well </w:t>
      </w:r>
      <w:r w:rsidDel="00000000" w:rsidR="00000000" w:rsidRPr="00000000">
        <w:rPr>
          <w:sz w:val="22"/>
          <w:szCs w:val="22"/>
          <w:rtl w:val="0"/>
        </w:rPr>
        <w:t xml:space="preserve">known that commercial value of EO data rapidly declines with time since acquisition, and as such, there is perhaps an opportunity for economical acquisition (through CEOS agency organised negotiation) for CEOS and partner purposes, which are typically longer term in support of global frameworks like the UNFCCC GST, etc. Other cases to consider are when a private sector entity ceases operation – how is their valuable data maintained for the public good.</w:t>
      </w:r>
      <w:r w:rsidDel="00000000" w:rsidR="00000000" w:rsidRPr="00000000">
        <w:rPr>
          <w:rtl w:val="0"/>
        </w:rPr>
      </w:r>
    </w:p>
    <w:p w:rsidR="00000000" w:rsidDel="00000000" w:rsidP="00000000" w:rsidRDefault="00000000" w:rsidRPr="00000000" w14:paraId="00000021">
      <w:pPr>
        <w:spacing w:after="160" w:before="0" w:line="279" w:lineRule="auto"/>
        <w:ind w:left="0" w:right="0" w:firstLine="0"/>
        <w:jc w:val="left"/>
        <w:rPr>
          <w:sz w:val="22"/>
          <w:szCs w:val="22"/>
        </w:rPr>
      </w:pPr>
      <w:r w:rsidDel="00000000" w:rsidR="00000000" w:rsidRPr="00000000">
        <w:rPr>
          <w:sz w:val="22"/>
          <w:szCs w:val="22"/>
          <w:rtl w:val="0"/>
        </w:rPr>
        <w:t xml:space="preserve">LSI-VC would need:</w:t>
      </w:r>
    </w:p>
    <w:p w:rsidR="00000000" w:rsidDel="00000000" w:rsidP="00000000" w:rsidRDefault="00000000" w:rsidRPr="00000000" w14:paraId="00000022">
      <w:pPr>
        <w:numPr>
          <w:ilvl w:val="0"/>
          <w:numId w:val="8"/>
        </w:numPr>
        <w:spacing w:after="0" w:afterAutospacing="0" w:before="0" w:line="279" w:lineRule="auto"/>
        <w:ind w:left="720" w:right="0" w:hanging="360"/>
        <w:jc w:val="left"/>
        <w:rPr>
          <w:sz w:val="22"/>
          <w:szCs w:val="22"/>
          <w:u w:val="none"/>
        </w:rPr>
      </w:pPr>
      <w:r w:rsidDel="00000000" w:rsidR="00000000" w:rsidRPr="00000000">
        <w:rPr>
          <w:sz w:val="22"/>
          <w:szCs w:val="22"/>
          <w:rtl w:val="0"/>
        </w:rPr>
        <w:t xml:space="preserve">A catalogue of both opportunities and past acquisitions to avoid double paying (this information could perhaps be maintained in the CEOS database?)</w:t>
      </w:r>
    </w:p>
    <w:p w:rsidR="00000000" w:rsidDel="00000000" w:rsidP="00000000" w:rsidRDefault="00000000" w:rsidRPr="00000000" w14:paraId="00000023">
      <w:pPr>
        <w:numPr>
          <w:ilvl w:val="0"/>
          <w:numId w:val="8"/>
        </w:numPr>
        <w:spacing w:after="0" w:afterAutospacing="0" w:before="0" w:line="279" w:lineRule="auto"/>
        <w:ind w:left="720" w:right="0" w:hanging="360"/>
        <w:jc w:val="left"/>
        <w:rPr>
          <w:sz w:val="22"/>
          <w:szCs w:val="22"/>
          <w:u w:val="none"/>
        </w:rPr>
      </w:pPr>
      <w:r w:rsidDel="00000000" w:rsidR="00000000" w:rsidRPr="00000000">
        <w:rPr>
          <w:sz w:val="22"/>
          <w:szCs w:val="22"/>
          <w:rtl w:val="0"/>
        </w:rPr>
        <w:t xml:space="preserve">Agreed and consistent wording that could be used in negotiation to clarify the intended purposes (e.g. global frameworks, public good) and necessary licensing terms of the acquired data, etc. (e.g. resulting data should be free and open)</w:t>
      </w:r>
    </w:p>
    <w:p w:rsidR="00000000" w:rsidDel="00000000" w:rsidP="00000000" w:rsidRDefault="00000000" w:rsidRPr="00000000" w14:paraId="00000024">
      <w:pPr>
        <w:numPr>
          <w:ilvl w:val="0"/>
          <w:numId w:val="8"/>
        </w:numPr>
        <w:spacing w:after="0" w:afterAutospacing="0" w:before="0" w:line="279" w:lineRule="auto"/>
        <w:ind w:left="720" w:right="0" w:hanging="360"/>
        <w:jc w:val="left"/>
        <w:rPr>
          <w:sz w:val="22"/>
          <w:szCs w:val="22"/>
          <w:u w:val="none"/>
        </w:rPr>
      </w:pPr>
      <w:r w:rsidDel="00000000" w:rsidR="00000000" w:rsidRPr="00000000">
        <w:rPr>
          <w:sz w:val="22"/>
          <w:szCs w:val="22"/>
          <w:rtl w:val="0"/>
        </w:rPr>
        <w:t xml:space="preserve">An understanding of where and how this data could be stored, and any necessary partnerships</w:t>
      </w:r>
    </w:p>
    <w:p w:rsidR="00000000" w:rsidDel="00000000" w:rsidP="00000000" w:rsidRDefault="00000000" w:rsidRPr="00000000" w14:paraId="00000025">
      <w:pPr>
        <w:numPr>
          <w:ilvl w:val="0"/>
          <w:numId w:val="8"/>
        </w:numPr>
        <w:spacing w:after="0" w:afterAutospacing="0" w:before="0" w:line="279" w:lineRule="auto"/>
        <w:ind w:left="720" w:right="0" w:hanging="360"/>
        <w:jc w:val="left"/>
        <w:rPr>
          <w:sz w:val="22"/>
          <w:szCs w:val="22"/>
          <w:u w:val="none"/>
        </w:rPr>
      </w:pPr>
      <w:r w:rsidDel="00000000" w:rsidR="00000000" w:rsidRPr="00000000">
        <w:rPr>
          <w:sz w:val="22"/>
          <w:szCs w:val="22"/>
          <w:rtl w:val="0"/>
        </w:rPr>
        <w:t xml:space="preserve">An understanding of whether we would insist on data being CEOS-ARD compliant?</w:t>
      </w:r>
    </w:p>
    <w:p w:rsidR="00000000" w:rsidDel="00000000" w:rsidP="00000000" w:rsidRDefault="00000000" w:rsidRPr="00000000" w14:paraId="00000026">
      <w:pPr>
        <w:numPr>
          <w:ilvl w:val="0"/>
          <w:numId w:val="8"/>
        </w:numPr>
        <w:spacing w:after="0" w:afterAutospacing="0" w:before="0" w:line="279" w:lineRule="auto"/>
        <w:ind w:left="720" w:right="0" w:hanging="360"/>
        <w:jc w:val="left"/>
        <w:rPr>
          <w:sz w:val="22"/>
          <w:szCs w:val="22"/>
          <w:u w:val="none"/>
        </w:rPr>
      </w:pPr>
      <w:r w:rsidDel="00000000" w:rsidR="00000000" w:rsidRPr="00000000">
        <w:rPr>
          <w:sz w:val="22"/>
          <w:szCs w:val="22"/>
          <w:rtl w:val="0"/>
        </w:rPr>
        <w:t xml:space="preserve">A name “CEOS Open Data Program”?</w:t>
      </w:r>
    </w:p>
    <w:p w:rsidR="00000000" w:rsidDel="00000000" w:rsidP="00000000" w:rsidRDefault="00000000" w:rsidRPr="00000000" w14:paraId="00000027">
      <w:pPr>
        <w:numPr>
          <w:ilvl w:val="0"/>
          <w:numId w:val="8"/>
        </w:numPr>
        <w:spacing w:after="0" w:afterAutospacing="0"/>
        <w:ind w:left="720" w:hanging="360"/>
        <w:rPr>
          <w:sz w:val="22"/>
          <w:szCs w:val="22"/>
        </w:rPr>
      </w:pPr>
      <w:r w:rsidDel="00000000" w:rsidR="00000000" w:rsidRPr="00000000">
        <w:rPr>
          <w:sz w:val="22"/>
          <w:szCs w:val="22"/>
          <w:rtl w:val="0"/>
        </w:rPr>
        <w:t xml:space="preserve">A register for shapefiles/kml areas are released on an openmap/GUI for agencies to explore what data or products are available, which would allow users to explore available products. The coverage map would allow for the current extent of EO data held or known by CEOS agencies.</w:t>
      </w:r>
    </w:p>
    <w:p w:rsidR="00000000" w:rsidDel="00000000" w:rsidP="00000000" w:rsidRDefault="00000000" w:rsidRPr="00000000" w14:paraId="00000028">
      <w:pPr>
        <w:numPr>
          <w:ilvl w:val="0"/>
          <w:numId w:val="8"/>
        </w:numPr>
        <w:ind w:left="720" w:hanging="360"/>
        <w:rPr>
          <w:sz w:val="22"/>
          <w:szCs w:val="22"/>
          <w:u w:val="none"/>
        </w:rPr>
      </w:pPr>
      <w:r w:rsidDel="00000000" w:rsidR="00000000" w:rsidRPr="00000000">
        <w:rPr>
          <w:sz w:val="22"/>
          <w:szCs w:val="22"/>
          <w:rtl w:val="0"/>
        </w:rPr>
        <w:t xml:space="preserve">Agree to use a quality assessment framework like the NASA CSDA / ESA EDAP process?</w:t>
      </w:r>
    </w:p>
    <w:p w:rsidR="00000000" w:rsidDel="00000000" w:rsidP="00000000" w:rsidRDefault="00000000" w:rsidRPr="00000000" w14:paraId="00000029">
      <w:pPr>
        <w:spacing w:after="160" w:before="0" w:line="279" w:lineRule="auto"/>
        <w:ind w:left="0" w:right="0" w:firstLine="0"/>
        <w:jc w:val="left"/>
        <w:rPr>
          <w:b w:val="0"/>
          <w:i w:val="0"/>
          <w:sz w:val="22"/>
          <w:szCs w:val="22"/>
        </w:rPr>
      </w:pPr>
      <w:r w:rsidDel="00000000" w:rsidR="00000000" w:rsidRPr="00000000">
        <w:rPr>
          <w:sz w:val="22"/>
          <w:szCs w:val="22"/>
          <w:rtl w:val="0"/>
        </w:rPr>
        <w:t xml:space="preserve">Such a framework would</w:t>
      </w:r>
      <w:r w:rsidDel="00000000" w:rsidR="00000000" w:rsidRPr="00000000">
        <w:rPr>
          <w:b w:val="0"/>
          <w:i w:val="0"/>
          <w:sz w:val="22"/>
          <w:szCs w:val="22"/>
          <w:rtl w:val="0"/>
        </w:rPr>
        <w:t xml:space="preserve"> reduce duplication of effor</w:t>
      </w:r>
      <w:r w:rsidDel="00000000" w:rsidR="00000000" w:rsidRPr="00000000">
        <w:rPr>
          <w:sz w:val="22"/>
          <w:szCs w:val="22"/>
          <w:rtl w:val="0"/>
        </w:rPr>
        <w:t xml:space="preserve">t/cost (e.g. two CEOS agencies buying the same data for the same purposes) and making these archived EO datasets more open to users.</w:t>
      </w:r>
      <w:r w:rsidDel="00000000" w:rsidR="00000000" w:rsidRPr="00000000">
        <w:rPr>
          <w:b w:val="0"/>
          <w:i w:val="0"/>
          <w:sz w:val="22"/>
          <w:szCs w:val="22"/>
          <w:rtl w:val="0"/>
        </w:rPr>
        <w:t xml:space="preserve"> It </w:t>
      </w:r>
      <w:r w:rsidDel="00000000" w:rsidR="00000000" w:rsidRPr="00000000">
        <w:rPr>
          <w:sz w:val="22"/>
          <w:szCs w:val="22"/>
          <w:rtl w:val="0"/>
        </w:rPr>
        <w:t xml:space="preserve">would promote</w:t>
      </w:r>
      <w:r w:rsidDel="00000000" w:rsidR="00000000" w:rsidRPr="00000000">
        <w:rPr>
          <w:b w:val="0"/>
          <w:i w:val="0"/>
          <w:sz w:val="22"/>
          <w:szCs w:val="22"/>
          <w:rtl w:val="0"/>
        </w:rPr>
        <w:t xml:space="preserve">: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Economic growth: Open data enables businesses to create new products and services.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Transparency: Enhances trust in institutions through accountable governance and research.</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Compliance preservation: Archiving data ensures long-term preservation and adherence to retention laws.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Open archives: Facilitates collaboration and innovation by building on existing research.</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Democratise access: Effective and open access to data, provides tools for effective use of EO data.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right="0"/>
        <w:jc w:val="left"/>
        <w:rPr>
          <w:sz w:val="22"/>
          <w:szCs w:val="22"/>
        </w:rPr>
      </w:pPr>
      <w:r w:rsidDel="00000000" w:rsidR="00000000" w:rsidRPr="00000000">
        <w:rPr>
          <w:sz w:val="22"/>
          <w:szCs w:val="22"/>
          <w:rtl w:val="0"/>
        </w:rPr>
        <w:t xml:space="preserve">Furthermore, the known eventual value of data might encourage increased baseline observation scenario acquisition plans from commercial providers – currently lacking.</w:t>
      </w:r>
    </w:p>
    <w:p w:rsidR="00000000" w:rsidDel="00000000" w:rsidP="00000000" w:rsidRDefault="00000000" w:rsidRPr="00000000" w14:paraId="00000030">
      <w:pPr>
        <w:spacing w:after="160" w:before="0" w:line="279" w:lineRule="auto"/>
        <w:ind w:right="0"/>
        <w:jc w:val="left"/>
        <w:rPr>
          <w:b w:val="1"/>
          <w:i w:val="0"/>
          <w:sz w:val="22"/>
          <w:szCs w:val="22"/>
        </w:rPr>
      </w:pPr>
      <w:r w:rsidDel="00000000" w:rsidR="00000000" w:rsidRPr="00000000">
        <w:rPr>
          <w:b w:val="1"/>
          <w:i w:val="0"/>
          <w:sz w:val="22"/>
          <w:szCs w:val="22"/>
          <w:rtl w:val="0"/>
        </w:rPr>
        <w:t xml:space="preserve">Existing opportunities: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JACIE Database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SPOT World Heritage (SWH) programme initiative to open the SPOT 1-5 archive to users. The L1A archive contains 30 million images acquired by SPOT since 1986.</w:t>
      </w:r>
    </w:p>
    <w:p w:rsidR="00000000" w:rsidDel="00000000" w:rsidP="00000000" w:rsidRDefault="00000000" w:rsidRPr="00000000" w14:paraId="00000033">
      <w:pPr>
        <w:spacing w:after="160" w:before="0" w:line="279" w:lineRule="auto"/>
        <w:ind w:left="0" w:right="0" w:firstLine="0"/>
        <w:jc w:val="left"/>
        <w:rPr>
          <w:b w:val="1"/>
          <w:i w:val="0"/>
          <w:sz w:val="22"/>
          <w:szCs w:val="22"/>
        </w:rPr>
      </w:pPr>
      <w:r w:rsidDel="00000000" w:rsidR="00000000" w:rsidRPr="00000000">
        <w:rPr>
          <w:b w:val="1"/>
          <w:i w:val="0"/>
          <w:sz w:val="22"/>
          <w:szCs w:val="22"/>
          <w:rtl w:val="0"/>
        </w:rPr>
        <w:t xml:space="preserve">Proposed format: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Archived images should be subject to creative commons licensing (CC BY)</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CEOS agencies to be engaged with commercial providers to seek out coverage maps as shapefiles/kml where data is available for purchase</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w:t>
      </w:r>
      <w:r w:rsidDel="00000000" w:rsidR="00000000" w:rsidRPr="00000000">
        <w:rPr>
          <w:sz w:val="22"/>
          <w:szCs w:val="22"/>
          <w:rtl w:val="0"/>
        </w:rPr>
        <w:t xml:space="preserve">survey of opportunities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could occur on an annual basis, alongside data acquisition for the MIMs </w:t>
      </w:r>
      <w:r w:rsidDel="00000000" w:rsidR="00000000" w:rsidRPr="00000000">
        <w:rPr>
          <w:sz w:val="22"/>
          <w:szCs w:val="22"/>
          <w:rtl w:val="0"/>
        </w:rPr>
        <w:t xml:space="preserv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atabase?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after="160" w:before="0" w:line="279" w:lineRule="auto"/>
        <w:ind w:left="0" w:right="0" w:firstLine="0"/>
        <w:jc w:val="left"/>
        <w:rPr>
          <w:b w:val="1"/>
          <w:sz w:val="22"/>
          <w:szCs w:val="22"/>
        </w:rPr>
      </w:pPr>
      <w:r w:rsidDel="00000000" w:rsidR="00000000" w:rsidRPr="00000000">
        <w:rPr>
          <w:b w:val="1"/>
          <w:sz w:val="22"/>
          <w:szCs w:val="22"/>
          <w:rtl w:val="0"/>
        </w:rPr>
        <w:t xml:space="preserve">Interface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Potential – JACIE/VH-RHODA European and US purchasing frameworks (E.g. Copernicus Contributing Missions)</w:t>
      </w:r>
    </w:p>
    <w:p w:rsidR="00000000" w:rsidDel="00000000" w:rsidP="00000000" w:rsidRDefault="00000000" w:rsidRPr="00000000" w14:paraId="0000003A">
      <w:pPr>
        <w:spacing w:after="160" w:before="0" w:line="279" w:lineRule="auto"/>
        <w:ind w:left="0" w:right="0" w:firstLine="0"/>
        <w:jc w:val="left"/>
        <w:rPr>
          <w:sz w:val="22"/>
          <w:szCs w:val="22"/>
        </w:rPr>
      </w:pPr>
      <w:r w:rsidDel="00000000" w:rsidR="00000000" w:rsidRPr="00000000">
        <w:rPr>
          <w:b w:val="1"/>
          <w:sz w:val="22"/>
          <w:szCs w:val="22"/>
          <w:rtl w:val="0"/>
        </w:rPr>
        <w:t xml:space="preserve">Timeframe: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Periodic (once a year) </w:t>
      </w:r>
      <w:r w:rsidDel="00000000" w:rsidR="00000000" w:rsidRPr="00000000">
        <w:rPr>
          <w:sz w:val="22"/>
          <w:szCs w:val="22"/>
          <w:rtl w:val="0"/>
        </w:rPr>
        <w:t xml:space="preserve">compilation of the latest opportunities and acquired datasets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spacing w:after="160" w:before="0" w:line="279" w:lineRule="auto"/>
        <w:ind w:left="0" w:right="0" w:firstLine="0"/>
        <w:jc w:val="left"/>
        <w:rPr>
          <w:sz w:val="22"/>
          <w:szCs w:val="22"/>
        </w:rPr>
      </w:pPr>
      <w:r w:rsidDel="00000000" w:rsidR="00000000" w:rsidRPr="00000000">
        <w:rPr>
          <w:b w:val="1"/>
          <w:sz w:val="22"/>
          <w:szCs w:val="22"/>
          <w:rtl w:val="0"/>
        </w:rPr>
        <w:t xml:space="preserve">Risks: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Risk of industry not seeing the value of providing a buy once-free data archives, as this financial model does not provide ongoing financial gain. </w:t>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9" w:lineRule="auto"/>
        <w:ind w:left="144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Potential for industry to move to an archive subscription model (alleviate through proving limited value of archive data, products and services less focused on long term delivery plans (unlocking archived data) vs. relevant services now (what do users want now?)</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spacing w:after="160" w:before="0" w:line="279" w:lineRule="auto"/>
        <w:ind w:left="0" w:right="0" w:firstLine="0"/>
        <w:jc w:val="left"/>
        <w:rPr>
          <w:sz w:val="22"/>
          <w:szCs w:val="22"/>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8820.0" w:type="dxa"/>
      <w:jc w:val="left"/>
      <w:tblLayout w:type="fixed"/>
      <w:tblLook w:val="0600"/>
    </w:tblPr>
    <w:tblGrid>
      <w:gridCol w:w="8820"/>
      <w:tblGridChange w:id="0">
        <w:tblGrid>
          <w:gridCol w:w="8820"/>
        </w:tblGrid>
      </w:tblGridChange>
    </w:tblGrid>
    <w:tr>
      <w:trPr>
        <w:cantSplit w:val="0"/>
        <w:trHeight w:val="300" w:hRule="atLeast"/>
        <w:tblHeader w:val="0"/>
      </w:trPr>
      <w:tc>
        <w:tcPr/>
        <w:p w:rsidR="00000000" w:rsidDel="00000000" w:rsidP="00000000" w:rsidRDefault="00000000" w:rsidRPr="00000000" w14:paraId="00000042">
          <w:pPr>
            <w:spacing w:after="160" w:before="0" w:line="279" w:lineRule="auto"/>
            <w:ind w:left="0" w:right="0" w:firstLine="0"/>
            <w:jc w:val="left"/>
            <w:rPr>
              <w:b w:val="1"/>
              <w:sz w:val="24"/>
              <w:szCs w:val="24"/>
            </w:rPr>
          </w:pPr>
          <w:r w:rsidDel="00000000" w:rsidR="00000000" w:rsidRPr="00000000">
            <w:rPr>
              <w:b w:val="1"/>
              <w:sz w:val="24"/>
              <w:szCs w:val="24"/>
              <w:rtl w:val="0"/>
            </w:rPr>
            <w:t xml:space="preserve">Committee on Earth Observation Satellites – LSI-VC-17: Session </w:t>
          </w:r>
          <w:r w:rsidDel="00000000" w:rsidR="00000000" w:rsidRPr="00000000">
            <w:rPr>
              <w:b w:val="1"/>
              <w:rtl w:val="0"/>
            </w:rPr>
            <w:t xml:space="preserve">11.2</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Aptos" w:cs="Aptos" w:eastAsia="Aptos" w:hAnsi="Apto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7E15F092"/>
    <w:pPr>
      <w:spacing/>
      <w:ind w:left="720"/>
      <w:contextualSpacing w:val="1"/>
    </w:pPr>
  </w:style>
  <w:style w:type="paragraph" w:styleId="Header">
    <w:name w:val="header"/>
    <w:basedOn w:val="Normal"/>
    <w:uiPriority w:val="99"/>
    <w:unhideWhenUsed w:val="1"/>
    <w:rsid w:val="48AA9E71"/>
    <w:pPr>
      <w:tabs>
        <w:tab w:val="center" w:leader="none" w:pos="4680"/>
        <w:tab w:val="right" w:leader="none" w:pos="9360"/>
      </w:tabs>
      <w:spacing w:after="0" w:line="240" w:lineRule="auto"/>
    </w:pPr>
  </w:style>
  <w:style w:type="paragraph" w:styleId="Footer">
    <w:name w:val="footer"/>
    <w:basedOn w:val="Normal"/>
    <w:uiPriority w:val="99"/>
    <w:unhideWhenUsed w:val="1"/>
    <w:rsid w:val="48AA9E71"/>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os.my.webex.com/meet/ceoswebex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EFnErAwCbpzh4DDi9lX9oblfw==">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2025-03-05T01:24:30.0000000Z</dcterms:created>
  <dc:creator>Maggie Arnold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0x010100100139E15CD77E4CA154E2AF2D8450C7</vt:lpwstr>
  </property>
</Properties>
</file>