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CD582" w14:textId="77777777" w:rsidR="000A3A31" w:rsidRPr="00005BAE" w:rsidRDefault="000A3A31" w:rsidP="00542F6E">
      <w:pPr>
        <w:jc w:val="center"/>
      </w:pPr>
      <w:r w:rsidRPr="00005BAE">
        <w:t xml:space="preserve">Terms of Reference for the CEOS </w:t>
      </w:r>
      <w:r w:rsidR="00713227" w:rsidRPr="00005BAE">
        <w:t>S</w:t>
      </w:r>
      <w:r w:rsidR="00864DB0" w:rsidRPr="00005BAE">
        <w:t xml:space="preserve">ea Surface Temperature </w:t>
      </w:r>
      <w:r w:rsidRPr="00005BAE">
        <w:t>Virtual Constellatio</w:t>
      </w:r>
      <w:r w:rsidR="00864DB0" w:rsidRPr="00005BAE">
        <w:t>n</w:t>
      </w:r>
    </w:p>
    <w:p w14:paraId="2247A895" w14:textId="56370C5D" w:rsidR="00B319FF" w:rsidRPr="00005BAE" w:rsidRDefault="007D1102" w:rsidP="00542F6E">
      <w:pPr>
        <w:jc w:val="center"/>
      </w:pPr>
      <w:r>
        <w:t xml:space="preserve">Version </w:t>
      </w:r>
      <w:r w:rsidR="00DA18AD">
        <w:t>3.</w:t>
      </w:r>
      <w:r w:rsidR="008337F5">
        <w:rPr>
          <w:rFonts w:hint="eastAsia"/>
        </w:rPr>
        <w:t>1</w:t>
      </w:r>
    </w:p>
    <w:p w14:paraId="321B1321" w14:textId="3A901158" w:rsidR="00B319FF" w:rsidRPr="00005BAE" w:rsidRDefault="00B319FF" w:rsidP="00542F6E">
      <w:pPr>
        <w:jc w:val="center"/>
      </w:pPr>
      <w:r w:rsidRPr="00005BAE">
        <w:t xml:space="preserve">Last Updated: </w:t>
      </w:r>
      <w:r w:rsidR="00A1433D">
        <w:t>1</w:t>
      </w:r>
      <w:r w:rsidR="00185DE9">
        <w:rPr>
          <w:rFonts w:hint="eastAsia"/>
        </w:rPr>
        <w:t>4</w:t>
      </w:r>
      <w:r w:rsidRPr="00005BAE">
        <w:t xml:space="preserve"> </w:t>
      </w:r>
      <w:r w:rsidR="00185DE9">
        <w:rPr>
          <w:rFonts w:hint="eastAsia"/>
        </w:rPr>
        <w:t>June</w:t>
      </w:r>
      <w:r w:rsidRPr="00005BAE">
        <w:t xml:space="preserve"> 20</w:t>
      </w:r>
      <w:r w:rsidR="00DA18AD">
        <w:t>2</w:t>
      </w:r>
      <w:r w:rsidR="008337F5">
        <w:rPr>
          <w:rFonts w:hint="eastAsia"/>
        </w:rPr>
        <w:t>4</w:t>
      </w:r>
    </w:p>
    <w:p w14:paraId="53B998E7" w14:textId="77777777" w:rsidR="000A3A31" w:rsidRPr="00105BE6" w:rsidRDefault="000A3A31" w:rsidP="0065490E"/>
    <w:p w14:paraId="122BAD70" w14:textId="77777777" w:rsidR="000A3A31" w:rsidRPr="00105BE6" w:rsidRDefault="000A3A31" w:rsidP="0065490E">
      <w:r w:rsidRPr="00105BE6">
        <w:rPr>
          <w:b/>
          <w:smallCaps/>
        </w:rPr>
        <w:t>Constellation Name</w:t>
      </w:r>
      <w:r w:rsidR="00B319FF">
        <w:rPr>
          <w:b/>
          <w:smallCaps/>
        </w:rPr>
        <w:t xml:space="preserve">: </w:t>
      </w:r>
      <w:r w:rsidR="005F5B68">
        <w:t xml:space="preserve">The </w:t>
      </w:r>
      <w:r w:rsidRPr="00105BE6">
        <w:t>Sea Surface Temperature Virtual</w:t>
      </w:r>
      <w:r w:rsidR="00B319FF">
        <w:t xml:space="preserve"> Constellation </w:t>
      </w:r>
      <w:r w:rsidR="00F042C7">
        <w:t>(</w:t>
      </w:r>
      <w:r w:rsidR="000D0E55" w:rsidRPr="00105BE6">
        <w:t>SST-VC</w:t>
      </w:r>
      <w:r w:rsidR="00F042C7">
        <w:t>)</w:t>
      </w:r>
    </w:p>
    <w:p w14:paraId="30A95B29" w14:textId="7DF33083" w:rsidR="000D0E55" w:rsidRPr="00490A7E" w:rsidRDefault="000A3A31" w:rsidP="0065490E">
      <w:r w:rsidRPr="00490A7E">
        <w:t>Miss</w:t>
      </w:r>
      <w:r w:rsidR="005F5B68" w:rsidRPr="00490A7E">
        <w:t>ion Statement</w:t>
      </w:r>
      <w:r w:rsidR="004D62D6" w:rsidRPr="00490A7E">
        <w:t xml:space="preserve"> &amp; Objectives</w:t>
      </w:r>
      <w:r w:rsidR="000D0E55" w:rsidRPr="00490A7E">
        <w:t xml:space="preserve"> </w:t>
      </w:r>
    </w:p>
    <w:p w14:paraId="6C1AF395" w14:textId="46E5EBD3" w:rsidR="000A3A31" w:rsidRPr="006E0416" w:rsidRDefault="000D0E55" w:rsidP="0065490E">
      <w:r w:rsidRPr="006E0416">
        <w:t xml:space="preserve">The SST-VC </w:t>
      </w:r>
      <w:r w:rsidR="00B319FF" w:rsidRPr="006E0416">
        <w:t xml:space="preserve">exists to </w:t>
      </w:r>
      <w:r w:rsidRPr="006E0416">
        <w:t>foster the best quality sea surface temperature data and their availability for applications across all relevant spatial and temporal scales</w:t>
      </w:r>
      <w:r w:rsidR="00487D06" w:rsidRPr="006E0416">
        <w:t xml:space="preserve"> in </w:t>
      </w:r>
      <w:r w:rsidRPr="006E0416">
        <w:t>the most effective and efficient manner through international collaboration, scientific innovation, and rigor</w:t>
      </w:r>
      <w:r w:rsidR="00487D06" w:rsidRPr="006E0416">
        <w:t>.</w:t>
      </w:r>
    </w:p>
    <w:p w14:paraId="60FF841A" w14:textId="77777777" w:rsidR="00105BE6" w:rsidRPr="006E0416" w:rsidRDefault="000D0E55" w:rsidP="0065490E">
      <w:r w:rsidRPr="006E0416">
        <w:t>The SST-VC address</w:t>
      </w:r>
      <w:r w:rsidR="00B319FF" w:rsidRPr="006E0416">
        <w:t>es</w:t>
      </w:r>
      <w:r w:rsidRPr="006E0416">
        <w:t xml:space="preserve"> the following strategic objectives to address this aim: </w:t>
      </w:r>
    </w:p>
    <w:p w14:paraId="457BC5B7" w14:textId="77777777" w:rsidR="00DA6A6C" w:rsidRPr="0065490E" w:rsidRDefault="00DA6A6C" w:rsidP="0065490E">
      <w:pPr>
        <w:pStyle w:val="a3"/>
        <w:numPr>
          <w:ilvl w:val="0"/>
          <w:numId w:val="17"/>
        </w:numPr>
      </w:pPr>
      <w:r w:rsidRPr="0065490E">
        <w:t>Maintain a strong and mutually supportive relationship and interface between CEOS and the activities of the Group for High Resolution SST (GHRSST</w:t>
      </w:r>
      <w:proofErr w:type="gramStart"/>
      <w:r w:rsidRPr="0065490E">
        <w:t>);</w:t>
      </w:r>
      <w:proofErr w:type="gramEnd"/>
    </w:p>
    <w:p w14:paraId="385CE961" w14:textId="77777777" w:rsidR="00C80201" w:rsidRPr="0065490E" w:rsidRDefault="00C80201" w:rsidP="0065490E">
      <w:pPr>
        <w:pStyle w:val="a3"/>
        <w:numPr>
          <w:ilvl w:val="0"/>
          <w:numId w:val="17"/>
        </w:numPr>
        <w:rPr>
          <w:rFonts w:eastAsia="ＭＳ 明朝"/>
        </w:rPr>
      </w:pPr>
      <w:r w:rsidRPr="0065490E">
        <w:rPr>
          <w:rFonts w:eastAsia="ＭＳ 明朝"/>
        </w:rPr>
        <w:t xml:space="preserve">Foster better engagement by Nations operating or </w:t>
      </w:r>
      <w:r w:rsidR="00456545" w:rsidRPr="0065490E">
        <w:rPr>
          <w:rFonts w:eastAsia="ＭＳ 明朝"/>
        </w:rPr>
        <w:t xml:space="preserve">preparing satellite SST </w:t>
      </w:r>
      <w:proofErr w:type="gramStart"/>
      <w:r w:rsidR="00456545" w:rsidRPr="0065490E">
        <w:rPr>
          <w:rFonts w:eastAsia="ＭＳ 明朝"/>
        </w:rPr>
        <w:t>sensors;</w:t>
      </w:r>
      <w:proofErr w:type="gramEnd"/>
    </w:p>
    <w:p w14:paraId="5F71F74B" w14:textId="77777777" w:rsidR="00C80201" w:rsidRPr="0065490E" w:rsidRDefault="00C80201" w:rsidP="0065490E">
      <w:pPr>
        <w:pStyle w:val="a3"/>
        <w:numPr>
          <w:ilvl w:val="0"/>
          <w:numId w:val="17"/>
        </w:numPr>
        <w:rPr>
          <w:rFonts w:eastAsia="ＭＳ 明朝"/>
        </w:rPr>
      </w:pPr>
      <w:r w:rsidRPr="0065490E">
        <w:rPr>
          <w:rFonts w:eastAsia="ＭＳ 明朝"/>
        </w:rPr>
        <w:t xml:space="preserve">Work to assure the </w:t>
      </w:r>
      <w:proofErr w:type="gramStart"/>
      <w:r w:rsidRPr="0065490E">
        <w:rPr>
          <w:rFonts w:eastAsia="ＭＳ 明朝"/>
        </w:rPr>
        <w:t>long term</w:t>
      </w:r>
      <w:proofErr w:type="gramEnd"/>
      <w:r w:rsidRPr="0065490E">
        <w:rPr>
          <w:rFonts w:eastAsia="ＭＳ 明朝"/>
        </w:rPr>
        <w:t xml:space="preserve"> continuity of all necessary space-based components including passive microwave and dual-view, high quality IR reference-sensor SST data;</w:t>
      </w:r>
    </w:p>
    <w:p w14:paraId="3228D5E8" w14:textId="77777777" w:rsidR="00C80201" w:rsidRPr="0065490E" w:rsidRDefault="00C80201" w:rsidP="0065490E">
      <w:pPr>
        <w:pStyle w:val="a3"/>
        <w:numPr>
          <w:ilvl w:val="0"/>
          <w:numId w:val="17"/>
        </w:numPr>
        <w:rPr>
          <w:rFonts w:eastAsia="ＭＳ 明朝"/>
        </w:rPr>
      </w:pPr>
      <w:r w:rsidRPr="0065490E">
        <w:rPr>
          <w:rFonts w:eastAsia="ＭＳ 明朝"/>
        </w:rPr>
        <w:t>Synthesize the driving requirements for</w:t>
      </w:r>
      <w:r w:rsidR="00456545" w:rsidRPr="0065490E">
        <w:rPr>
          <w:rFonts w:eastAsia="ＭＳ 明朝"/>
        </w:rPr>
        <w:t xml:space="preserve"> SST measurements from </w:t>
      </w:r>
      <w:proofErr w:type="gramStart"/>
      <w:r w:rsidR="00456545" w:rsidRPr="0065490E">
        <w:rPr>
          <w:rFonts w:eastAsia="ＭＳ 明朝"/>
        </w:rPr>
        <w:t>space;</w:t>
      </w:r>
      <w:proofErr w:type="gramEnd"/>
    </w:p>
    <w:p w14:paraId="63A30111" w14:textId="77777777" w:rsidR="00C80201" w:rsidRPr="0065490E" w:rsidRDefault="00C80201" w:rsidP="0065490E">
      <w:pPr>
        <w:pStyle w:val="a3"/>
        <w:numPr>
          <w:ilvl w:val="0"/>
          <w:numId w:val="17"/>
        </w:numPr>
        <w:rPr>
          <w:rFonts w:eastAsia="ＭＳ 明朝"/>
        </w:rPr>
      </w:pPr>
      <w:r w:rsidRPr="0065490E">
        <w:rPr>
          <w:rFonts w:eastAsia="ＭＳ 明朝"/>
        </w:rPr>
        <w:t>Support outreach, education and devel</w:t>
      </w:r>
      <w:r w:rsidR="00456545" w:rsidRPr="0065490E">
        <w:rPr>
          <w:rFonts w:eastAsia="ＭＳ 明朝"/>
        </w:rPr>
        <w:t xml:space="preserve">opment of new SST </w:t>
      </w:r>
      <w:proofErr w:type="gramStart"/>
      <w:r w:rsidR="00456545" w:rsidRPr="0065490E">
        <w:rPr>
          <w:rFonts w:eastAsia="ＭＳ 明朝"/>
        </w:rPr>
        <w:t>practitioners;</w:t>
      </w:r>
      <w:proofErr w:type="gramEnd"/>
    </w:p>
    <w:p w14:paraId="7F6CD691" w14:textId="5612B416" w:rsidR="00C80201" w:rsidRPr="0065490E" w:rsidRDefault="00C80201" w:rsidP="0065490E">
      <w:pPr>
        <w:pStyle w:val="a3"/>
        <w:numPr>
          <w:ilvl w:val="0"/>
          <w:numId w:val="17"/>
        </w:numPr>
        <w:rPr>
          <w:rFonts w:eastAsia="ＭＳ 明朝"/>
        </w:rPr>
      </w:pPr>
      <w:r w:rsidRPr="0065490E">
        <w:rPr>
          <w:rFonts w:eastAsia="ＭＳ 明朝"/>
        </w:rPr>
        <w:t xml:space="preserve">Promote </w:t>
      </w:r>
      <w:r w:rsidR="00DA6A6C" w:rsidRPr="0065490E">
        <w:rPr>
          <w:rFonts w:eastAsia="ＭＳ 明朝"/>
        </w:rPr>
        <w:t>GHRSST</w:t>
      </w:r>
      <w:r w:rsidRPr="0065490E">
        <w:rPr>
          <w:rFonts w:eastAsia="ＭＳ 明朝"/>
        </w:rPr>
        <w:t xml:space="preserve"> standards for satellite </w:t>
      </w:r>
      <w:proofErr w:type="gramStart"/>
      <w:r w:rsidRPr="0065490E">
        <w:rPr>
          <w:rFonts w:eastAsia="ＭＳ 明朝"/>
        </w:rPr>
        <w:t>SST;</w:t>
      </w:r>
      <w:proofErr w:type="gramEnd"/>
    </w:p>
    <w:p w14:paraId="0D708060" w14:textId="77777777" w:rsidR="00C80201" w:rsidRPr="0065490E" w:rsidRDefault="00C80201" w:rsidP="0065490E">
      <w:pPr>
        <w:pStyle w:val="a3"/>
        <w:numPr>
          <w:ilvl w:val="0"/>
          <w:numId w:val="17"/>
        </w:numPr>
        <w:rPr>
          <w:rFonts w:eastAsia="ＭＳ 明朝"/>
        </w:rPr>
      </w:pPr>
      <w:r w:rsidRPr="0065490E">
        <w:rPr>
          <w:rFonts w:eastAsia="ＭＳ 明朝"/>
        </w:rPr>
        <w:t xml:space="preserve">Advocate priority areas for funding of SST </w:t>
      </w:r>
      <w:proofErr w:type="gramStart"/>
      <w:r w:rsidRPr="0065490E">
        <w:rPr>
          <w:rFonts w:eastAsia="ＭＳ 明朝"/>
        </w:rPr>
        <w:t>activities</w:t>
      </w:r>
      <w:r w:rsidR="00DA6A6C" w:rsidRPr="0065490E">
        <w:rPr>
          <w:rFonts w:eastAsia="ＭＳ 明朝"/>
        </w:rPr>
        <w:t>;</w:t>
      </w:r>
      <w:proofErr w:type="gramEnd"/>
    </w:p>
    <w:p w14:paraId="2FF9948E" w14:textId="4CB604D0" w:rsidR="00DA6A6C" w:rsidRPr="0065490E" w:rsidRDefault="00DA6A6C" w:rsidP="0065490E">
      <w:pPr>
        <w:pStyle w:val="a3"/>
        <w:numPr>
          <w:ilvl w:val="0"/>
          <w:numId w:val="17"/>
        </w:numPr>
        <w:rPr>
          <w:rFonts w:eastAsia="ＭＳ 明朝"/>
        </w:rPr>
      </w:pPr>
      <w:r w:rsidRPr="0065490E">
        <w:rPr>
          <w:rFonts w:eastAsia="ＭＳ 明朝"/>
        </w:rPr>
        <w:t>Promote the sharing of data.</w:t>
      </w:r>
    </w:p>
    <w:p w14:paraId="14C4CF79" w14:textId="77777777" w:rsidR="000D0E55" w:rsidRPr="00105BE6" w:rsidRDefault="000D0E55" w:rsidP="0065490E"/>
    <w:p w14:paraId="5D581E29" w14:textId="77777777" w:rsidR="00105BE6" w:rsidRPr="00105BE6" w:rsidRDefault="000A3A31" w:rsidP="0065490E">
      <w:r w:rsidRPr="00490A7E">
        <w:t>Characterisation of the measurements and data collections within</w:t>
      </w:r>
      <w:r w:rsidRPr="00105BE6">
        <w:t xml:space="preserve"> </w:t>
      </w:r>
      <w:r w:rsidRPr="00490A7E">
        <w:t>scope</w:t>
      </w:r>
      <w:r w:rsidRPr="00105BE6">
        <w:t xml:space="preserve"> </w:t>
      </w:r>
    </w:p>
    <w:p w14:paraId="1889F67F" w14:textId="77777777" w:rsidR="00B319FF" w:rsidRDefault="00B319FF" w:rsidP="0065490E">
      <w:r w:rsidRPr="00DD5051">
        <w:t xml:space="preserve">The geophysical parameter concerning the </w:t>
      </w:r>
      <w:r w:rsidR="00C80201">
        <w:t>SST</w:t>
      </w:r>
      <w:r w:rsidRPr="00DD5051">
        <w:t xml:space="preserve">-VC is </w:t>
      </w:r>
      <w:r w:rsidR="00C80201">
        <w:t xml:space="preserve">Sea Surface Temperature measured by </w:t>
      </w:r>
      <w:r w:rsidR="000B463C">
        <w:t>infrared</w:t>
      </w:r>
      <w:r w:rsidR="00C80201">
        <w:t xml:space="preserve"> and passive microwave satellite sensors supported by in situ measurements required for quality control.</w:t>
      </w:r>
      <w:r w:rsidRPr="00DD5051">
        <w:t xml:space="preserve"> </w:t>
      </w:r>
    </w:p>
    <w:p w14:paraId="7FC21351" w14:textId="77777777" w:rsidR="000A3A31" w:rsidRPr="00105BE6" w:rsidRDefault="00105BE6" w:rsidP="0065490E">
      <w:r>
        <w:t xml:space="preserve">The SST-VC works with GHRSST </w:t>
      </w:r>
      <w:r w:rsidR="0051465A">
        <w:t xml:space="preserve">to publish technical guidelines for GHRSST compliant datasets known as the GHRSST Data Specification (GDS). CEOS Agencies wishing to contribute their datasets to </w:t>
      </w:r>
      <w:proofErr w:type="gramStart"/>
      <w:r w:rsidR="0051465A">
        <w:t>GHRSST</w:t>
      </w:r>
      <w:proofErr w:type="gramEnd"/>
      <w:r w:rsidR="0051465A">
        <w:t xml:space="preserve"> and the SST-VC conform to the GDS. GHRSST and the SST-VC</w:t>
      </w:r>
      <w:r>
        <w:t xml:space="preserve"> maintain data discovery and access to all GHRSST-formatted products, using the GHRSST Global Data Assembly Centre, </w:t>
      </w:r>
      <w:r w:rsidR="0051465A">
        <w:t>the GHRSST Long Term Stewardship and Reanalysis Facility, GHRSST Regional Data Assembly Centres, and the CEOS-WGISS Integrated Catalogue as appropriate.</w:t>
      </w:r>
    </w:p>
    <w:p w14:paraId="536BF892" w14:textId="77777777" w:rsidR="000A3A31" w:rsidRDefault="00B319FF" w:rsidP="0065490E">
      <w:r>
        <w:br/>
      </w:r>
      <w:r w:rsidR="000A3A31" w:rsidRPr="00490A7E">
        <w:t>Characterisation of the space segment concerned</w:t>
      </w:r>
    </w:p>
    <w:p w14:paraId="702BD37A" w14:textId="77777777" w:rsidR="00057B65" w:rsidRPr="00150500" w:rsidRDefault="005F5B68" w:rsidP="0065490E">
      <w:r w:rsidRPr="00150500">
        <w:t>The SST-VC addresses all SST-capable space-based platforms as well as relevant in situ platforms, including but not limited to polar and geostationary orbiting platforms, infrared and microwave-based sensors, in situ radiometers, surface drifters</w:t>
      </w:r>
      <w:r w:rsidR="00EC3235" w:rsidRPr="00150500">
        <w:t xml:space="preserve">, moored buoy arrays, </w:t>
      </w:r>
      <w:r w:rsidRPr="00150500">
        <w:t xml:space="preserve">and near-surface profiling </w:t>
      </w:r>
      <w:r w:rsidR="00057B65" w:rsidRPr="00150500">
        <w:t>instruments – implicating a large number of CEOS age</w:t>
      </w:r>
      <w:r w:rsidR="0094039A">
        <w:t>ncy missions. The core missions</w:t>
      </w:r>
      <w:r w:rsidR="00057B65" w:rsidRPr="00150500">
        <w:t xml:space="preserve"> that are currently the priority for coordination efforts by the SST-VC are:</w:t>
      </w:r>
    </w:p>
    <w:p w14:paraId="5C5CD260" w14:textId="7DE36F5C" w:rsidR="00057B65" w:rsidRPr="00891D8E" w:rsidRDefault="0094039A" w:rsidP="0065490E">
      <w:pPr>
        <w:pStyle w:val="a3"/>
        <w:numPr>
          <w:ilvl w:val="0"/>
          <w:numId w:val="9"/>
        </w:numPr>
        <w:rPr>
          <w:rFonts w:eastAsia="ＭＳ 明朝"/>
          <w:lang w:val="en-AU" w:eastAsia="ja-JP"/>
        </w:rPr>
      </w:pPr>
      <w:proofErr w:type="spellStart"/>
      <w:r>
        <w:t>Metop</w:t>
      </w:r>
      <w:proofErr w:type="spellEnd"/>
      <w:r>
        <w:t xml:space="preserve"> series</w:t>
      </w:r>
      <w:r w:rsidR="00057B65" w:rsidRPr="00150500">
        <w:t xml:space="preserve"> (</w:t>
      </w:r>
      <w:r w:rsidR="0062202D" w:rsidRPr="00150500">
        <w:t>AVHRR</w:t>
      </w:r>
      <w:r w:rsidR="00915CE6" w:rsidRPr="00150500">
        <w:t>/IASI</w:t>
      </w:r>
      <w:r w:rsidR="00D42A67">
        <w:t>-A/B</w:t>
      </w:r>
      <w:proofErr w:type="gramStart"/>
      <w:r w:rsidR="00057B65" w:rsidRPr="00150500">
        <w:t>);</w:t>
      </w:r>
      <w:proofErr w:type="gramEnd"/>
    </w:p>
    <w:p w14:paraId="3A44520D" w14:textId="544D12A0" w:rsidR="00891D8E" w:rsidRPr="00150500" w:rsidRDefault="00891D8E" w:rsidP="0065490E">
      <w:pPr>
        <w:pStyle w:val="a3"/>
        <w:numPr>
          <w:ilvl w:val="0"/>
          <w:numId w:val="9"/>
        </w:numPr>
        <w:rPr>
          <w:rFonts w:eastAsia="ＭＳ 明朝"/>
          <w:lang w:val="en-AU" w:eastAsia="ja-JP"/>
        </w:rPr>
      </w:pPr>
      <w:r>
        <w:t>NOAA POES series (AVHRR)</w:t>
      </w:r>
    </w:p>
    <w:p w14:paraId="6FFF8BCE" w14:textId="7899ACC6" w:rsidR="00057B65" w:rsidRPr="00150500" w:rsidRDefault="00B70B4E" w:rsidP="0065490E">
      <w:pPr>
        <w:pStyle w:val="a3"/>
        <w:numPr>
          <w:ilvl w:val="0"/>
          <w:numId w:val="9"/>
        </w:numPr>
        <w:rPr>
          <w:rFonts w:eastAsia="ＭＳ 明朝"/>
        </w:rPr>
      </w:pPr>
      <w:r>
        <w:rPr>
          <w:rFonts w:eastAsia="ＭＳ 明朝"/>
        </w:rPr>
        <w:t xml:space="preserve">NOAA </w:t>
      </w:r>
      <w:r w:rsidR="00F26B93">
        <w:rPr>
          <w:rFonts w:eastAsia="ＭＳ 明朝"/>
        </w:rPr>
        <w:t>JPSS</w:t>
      </w:r>
      <w:r w:rsidR="00057B65" w:rsidRPr="00150500">
        <w:rPr>
          <w:rFonts w:eastAsia="ＭＳ 明朝"/>
        </w:rPr>
        <w:t xml:space="preserve"> </w:t>
      </w:r>
      <w:r w:rsidR="0094039A">
        <w:rPr>
          <w:rFonts w:eastAsia="ＭＳ 明朝"/>
        </w:rPr>
        <w:t xml:space="preserve">series </w:t>
      </w:r>
      <w:r w:rsidR="00057B65" w:rsidRPr="00150500">
        <w:t>(</w:t>
      </w:r>
      <w:r w:rsidR="00F26B93">
        <w:t>VIIRS</w:t>
      </w:r>
      <w:proofErr w:type="gramStart"/>
      <w:r w:rsidR="00057B65" w:rsidRPr="00150500">
        <w:t>);</w:t>
      </w:r>
      <w:proofErr w:type="gramEnd"/>
    </w:p>
    <w:p w14:paraId="39A3635C" w14:textId="40D99905" w:rsidR="00057B65" w:rsidRPr="00130819" w:rsidRDefault="00057B65" w:rsidP="0065490E">
      <w:pPr>
        <w:pStyle w:val="a3"/>
        <w:numPr>
          <w:ilvl w:val="0"/>
          <w:numId w:val="9"/>
        </w:numPr>
        <w:rPr>
          <w:rFonts w:eastAsia="ＭＳ 明朝"/>
        </w:rPr>
      </w:pPr>
      <w:r w:rsidRPr="00150500">
        <w:rPr>
          <w:rFonts w:eastAsia="ＭＳ 明朝"/>
        </w:rPr>
        <w:t>Suomi NPP</w:t>
      </w:r>
      <w:r w:rsidRPr="00150500">
        <w:t xml:space="preserve"> (</w:t>
      </w:r>
      <w:r w:rsidR="0062202D" w:rsidRPr="00150500">
        <w:t>VIIRS</w:t>
      </w:r>
      <w:proofErr w:type="gramStart"/>
      <w:r w:rsidRPr="00150500">
        <w:t>);</w:t>
      </w:r>
      <w:proofErr w:type="gramEnd"/>
    </w:p>
    <w:p w14:paraId="76D03E76" w14:textId="693FBC7E" w:rsidR="00130819" w:rsidRPr="00150500" w:rsidRDefault="00130819" w:rsidP="0065490E">
      <w:pPr>
        <w:pStyle w:val="a3"/>
        <w:numPr>
          <w:ilvl w:val="0"/>
          <w:numId w:val="9"/>
        </w:numPr>
        <w:rPr>
          <w:rFonts w:eastAsia="ＭＳ 明朝"/>
        </w:rPr>
      </w:pPr>
      <w:r>
        <w:t>Sentinel 3</w:t>
      </w:r>
      <w:r w:rsidR="00D42A67">
        <w:t>A/B</w:t>
      </w:r>
      <w:r>
        <w:t xml:space="preserve"> (SLSTR</w:t>
      </w:r>
      <w:proofErr w:type="gramStart"/>
      <w:r>
        <w:t>);</w:t>
      </w:r>
      <w:proofErr w:type="gramEnd"/>
    </w:p>
    <w:p w14:paraId="4C278E46" w14:textId="77777777" w:rsidR="0062202D" w:rsidRPr="00150500" w:rsidRDefault="0062202D" w:rsidP="0065490E">
      <w:pPr>
        <w:pStyle w:val="a3"/>
        <w:numPr>
          <w:ilvl w:val="0"/>
          <w:numId w:val="9"/>
        </w:numPr>
        <w:rPr>
          <w:rFonts w:eastAsia="ＭＳ 明朝"/>
        </w:rPr>
      </w:pPr>
      <w:r w:rsidRPr="00150500">
        <w:lastRenderedPageBreak/>
        <w:t xml:space="preserve">GCOM-W </w:t>
      </w:r>
      <w:r w:rsidR="0094039A">
        <w:t xml:space="preserve">series </w:t>
      </w:r>
      <w:r w:rsidRPr="00150500">
        <w:t>(AMSR2)</w:t>
      </w:r>
    </w:p>
    <w:p w14:paraId="2489E2B5" w14:textId="77777777" w:rsidR="0062202D" w:rsidRPr="00A1433D" w:rsidRDefault="0062202D" w:rsidP="0065490E">
      <w:pPr>
        <w:pStyle w:val="a3"/>
        <w:numPr>
          <w:ilvl w:val="0"/>
          <w:numId w:val="9"/>
        </w:numPr>
        <w:rPr>
          <w:rFonts w:eastAsia="ＭＳ 明朝"/>
        </w:rPr>
      </w:pPr>
      <w:r w:rsidRPr="00A1433D">
        <w:t>TRMM (VIRS/TMI)</w:t>
      </w:r>
    </w:p>
    <w:p w14:paraId="58CAF3F9" w14:textId="77777777" w:rsidR="0062202D" w:rsidRPr="00150500" w:rsidRDefault="0062202D" w:rsidP="0065490E">
      <w:pPr>
        <w:pStyle w:val="a3"/>
        <w:numPr>
          <w:ilvl w:val="0"/>
          <w:numId w:val="9"/>
        </w:numPr>
        <w:rPr>
          <w:rFonts w:eastAsia="ＭＳ 明朝"/>
        </w:rPr>
      </w:pPr>
      <w:r w:rsidRPr="00150500">
        <w:rPr>
          <w:rFonts w:eastAsia="ＭＳ 明朝"/>
        </w:rPr>
        <w:t>TERRA/AQUA (MODIS/AMSR-E)</w:t>
      </w:r>
    </w:p>
    <w:p w14:paraId="7CFE7676" w14:textId="6A09C54B" w:rsidR="0062202D" w:rsidRPr="00150500" w:rsidRDefault="0062202D" w:rsidP="0065490E">
      <w:pPr>
        <w:pStyle w:val="a3"/>
        <w:numPr>
          <w:ilvl w:val="0"/>
          <w:numId w:val="9"/>
        </w:numPr>
        <w:rPr>
          <w:rFonts w:eastAsia="ＭＳ 明朝"/>
        </w:rPr>
      </w:pPr>
      <w:r w:rsidRPr="00150500">
        <w:rPr>
          <w:rFonts w:eastAsia="ＭＳ 明朝"/>
        </w:rPr>
        <w:t>Coriolis (</w:t>
      </w:r>
      <w:proofErr w:type="spellStart"/>
      <w:r w:rsidRPr="00150500">
        <w:rPr>
          <w:rFonts w:eastAsia="ＭＳ 明朝"/>
        </w:rPr>
        <w:t>WindSat</w:t>
      </w:r>
      <w:proofErr w:type="spellEnd"/>
      <w:r w:rsidR="00A1433D">
        <w:rPr>
          <w:rFonts w:eastAsia="ＭＳ 明朝"/>
        </w:rPr>
        <w:t xml:space="preserve"> – inactive since December 2020</w:t>
      </w:r>
      <w:r w:rsidRPr="00150500">
        <w:rPr>
          <w:rFonts w:eastAsia="ＭＳ 明朝"/>
        </w:rPr>
        <w:t>)</w:t>
      </w:r>
    </w:p>
    <w:p w14:paraId="4913995C" w14:textId="38019DE2" w:rsidR="00915CE6" w:rsidRPr="00150500" w:rsidRDefault="00915CE6" w:rsidP="0065490E">
      <w:pPr>
        <w:pStyle w:val="a3"/>
        <w:numPr>
          <w:ilvl w:val="0"/>
          <w:numId w:val="9"/>
        </w:numPr>
        <w:rPr>
          <w:rFonts w:eastAsia="ＭＳ 明朝"/>
        </w:rPr>
      </w:pPr>
      <w:r w:rsidRPr="00150500">
        <w:rPr>
          <w:rFonts w:eastAsia="ＭＳ 明朝"/>
        </w:rPr>
        <w:t xml:space="preserve">METEOSAT </w:t>
      </w:r>
      <w:r w:rsidR="0094039A">
        <w:rPr>
          <w:rFonts w:eastAsia="ＭＳ 明朝"/>
        </w:rPr>
        <w:t xml:space="preserve">series </w:t>
      </w:r>
      <w:r w:rsidRPr="00150500">
        <w:rPr>
          <w:rFonts w:eastAsia="ＭＳ 明朝"/>
        </w:rPr>
        <w:t>(SEVIRI/MVIRI</w:t>
      </w:r>
      <w:r w:rsidR="00D42A67">
        <w:rPr>
          <w:rFonts w:eastAsia="ＭＳ 明朝"/>
        </w:rPr>
        <w:t>/FCI</w:t>
      </w:r>
      <w:r w:rsidRPr="00150500">
        <w:rPr>
          <w:rFonts w:eastAsia="ＭＳ 明朝"/>
        </w:rPr>
        <w:t>)</w:t>
      </w:r>
    </w:p>
    <w:p w14:paraId="0FEF2814" w14:textId="77777777" w:rsidR="00915CE6" w:rsidRPr="00150500" w:rsidRDefault="00915CE6" w:rsidP="0065490E">
      <w:pPr>
        <w:pStyle w:val="a3"/>
        <w:numPr>
          <w:ilvl w:val="0"/>
          <w:numId w:val="9"/>
        </w:numPr>
        <w:rPr>
          <w:rFonts w:eastAsia="ＭＳ 明朝"/>
        </w:rPr>
      </w:pPr>
      <w:r w:rsidRPr="00150500">
        <w:rPr>
          <w:rFonts w:eastAsia="ＭＳ 明朝"/>
        </w:rPr>
        <w:t xml:space="preserve">GOES </w:t>
      </w:r>
      <w:r w:rsidR="0094039A">
        <w:rPr>
          <w:rFonts w:eastAsia="ＭＳ 明朝"/>
        </w:rPr>
        <w:t xml:space="preserve">series </w:t>
      </w:r>
      <w:r w:rsidRPr="00150500">
        <w:rPr>
          <w:rFonts w:eastAsia="ＭＳ 明朝"/>
        </w:rPr>
        <w:t>(Imager)</w:t>
      </w:r>
    </w:p>
    <w:p w14:paraId="64E14FF2" w14:textId="77777777" w:rsidR="00915CE6" w:rsidRPr="00150500" w:rsidRDefault="00915CE6" w:rsidP="0065490E">
      <w:pPr>
        <w:pStyle w:val="a3"/>
        <w:numPr>
          <w:ilvl w:val="0"/>
          <w:numId w:val="9"/>
        </w:numPr>
        <w:rPr>
          <w:rFonts w:eastAsia="ＭＳ 明朝"/>
        </w:rPr>
      </w:pPr>
      <w:r w:rsidRPr="00150500">
        <w:rPr>
          <w:rFonts w:eastAsia="ＭＳ 明朝"/>
        </w:rPr>
        <w:t xml:space="preserve">MTSAT </w:t>
      </w:r>
      <w:r w:rsidR="0094039A">
        <w:rPr>
          <w:rFonts w:eastAsia="ＭＳ 明朝"/>
        </w:rPr>
        <w:t xml:space="preserve">series </w:t>
      </w:r>
      <w:r w:rsidRPr="00150500">
        <w:rPr>
          <w:rFonts w:eastAsia="ＭＳ 明朝"/>
        </w:rPr>
        <w:t>(IMAGER)</w:t>
      </w:r>
    </w:p>
    <w:p w14:paraId="32C4D819" w14:textId="77777777" w:rsidR="00915CE6" w:rsidRPr="00150500" w:rsidRDefault="0094039A" w:rsidP="0065490E">
      <w:pPr>
        <w:pStyle w:val="a3"/>
        <w:numPr>
          <w:ilvl w:val="0"/>
          <w:numId w:val="9"/>
        </w:numPr>
        <w:rPr>
          <w:rFonts w:eastAsia="ＭＳ 明朝"/>
        </w:rPr>
      </w:pPr>
      <w:r>
        <w:rPr>
          <w:rFonts w:eastAsia="ＭＳ 明朝"/>
        </w:rPr>
        <w:t>HY s</w:t>
      </w:r>
      <w:r w:rsidR="00915CE6" w:rsidRPr="00150500">
        <w:rPr>
          <w:rFonts w:eastAsia="ＭＳ 明朝"/>
        </w:rPr>
        <w:t>eries (COCTS/RAD)</w:t>
      </w:r>
    </w:p>
    <w:p w14:paraId="44A3011C" w14:textId="77777777" w:rsidR="00915CE6" w:rsidRPr="00150500" w:rsidRDefault="0094039A" w:rsidP="0065490E">
      <w:pPr>
        <w:pStyle w:val="a3"/>
        <w:numPr>
          <w:ilvl w:val="0"/>
          <w:numId w:val="9"/>
        </w:numPr>
        <w:rPr>
          <w:rFonts w:eastAsia="ＭＳ 明朝"/>
        </w:rPr>
      </w:pPr>
      <w:r>
        <w:rPr>
          <w:rFonts w:eastAsia="ＭＳ 明朝"/>
        </w:rPr>
        <w:t>FY s</w:t>
      </w:r>
      <w:r w:rsidR="00915CE6" w:rsidRPr="00150500">
        <w:rPr>
          <w:rFonts w:eastAsia="ＭＳ 明朝"/>
        </w:rPr>
        <w:t>eries (Imager)</w:t>
      </w:r>
    </w:p>
    <w:p w14:paraId="3C6E7AB2" w14:textId="77777777" w:rsidR="00150500" w:rsidRPr="00150500" w:rsidRDefault="00150500" w:rsidP="0065490E">
      <w:pPr>
        <w:pStyle w:val="a3"/>
        <w:numPr>
          <w:ilvl w:val="0"/>
          <w:numId w:val="9"/>
        </w:numPr>
        <w:rPr>
          <w:rFonts w:eastAsia="ＭＳ 明朝"/>
        </w:rPr>
      </w:pPr>
      <w:r w:rsidRPr="00150500">
        <w:rPr>
          <w:rFonts w:eastAsia="ＭＳ 明朝"/>
        </w:rPr>
        <w:t xml:space="preserve">INSAT-3D </w:t>
      </w:r>
      <w:r w:rsidR="0094039A">
        <w:rPr>
          <w:rFonts w:eastAsia="ＭＳ 明朝"/>
        </w:rPr>
        <w:t xml:space="preserve">series </w:t>
      </w:r>
      <w:r w:rsidRPr="00150500">
        <w:rPr>
          <w:rFonts w:eastAsia="ＭＳ 明朝"/>
        </w:rPr>
        <w:t>(Imager)</w:t>
      </w:r>
    </w:p>
    <w:p w14:paraId="7565CB3D" w14:textId="77777777" w:rsidR="0024298D" w:rsidRDefault="0094039A" w:rsidP="0065490E">
      <w:pPr>
        <w:pStyle w:val="a3"/>
        <w:numPr>
          <w:ilvl w:val="0"/>
          <w:numId w:val="9"/>
        </w:numPr>
        <w:rPr>
          <w:rFonts w:eastAsia="ＭＳ 明朝"/>
        </w:rPr>
      </w:pPr>
      <w:r>
        <w:rPr>
          <w:rFonts w:eastAsia="ＭＳ 明朝"/>
        </w:rPr>
        <w:t xml:space="preserve">COMS </w:t>
      </w:r>
      <w:r w:rsidR="00150500" w:rsidRPr="00150500">
        <w:rPr>
          <w:rFonts w:eastAsia="ＭＳ 明朝"/>
        </w:rPr>
        <w:t>series (Imager)</w:t>
      </w:r>
    </w:p>
    <w:p w14:paraId="5D32D56D" w14:textId="77777777" w:rsidR="00EE3384" w:rsidRPr="00EE3384" w:rsidRDefault="00EE3384" w:rsidP="00542F6E">
      <w:pPr>
        <w:pStyle w:val="a3"/>
        <w:ind w:left="360"/>
        <w:rPr>
          <w:rFonts w:eastAsia="ＭＳ 明朝"/>
        </w:rPr>
      </w:pPr>
    </w:p>
    <w:p w14:paraId="02329097" w14:textId="2569C1DF" w:rsidR="00057B65" w:rsidRPr="00150500" w:rsidRDefault="0094039A" w:rsidP="0065490E">
      <w:r w:rsidRPr="00542F6E">
        <w:t>With the following future missions being of particular importance:</w:t>
      </w:r>
      <w:r w:rsidRPr="00542F6E">
        <w:rPr>
          <w:b/>
        </w:rPr>
        <w:t xml:space="preserve"> </w:t>
      </w:r>
      <w:r w:rsidRPr="00542F6E">
        <w:t xml:space="preserve">Sentinel-3 (SLSTR), GCOM-C (SGLI), JPSS (VIIRS), </w:t>
      </w:r>
      <w:r w:rsidR="000B463C" w:rsidRPr="00542F6E">
        <w:t xml:space="preserve">GOES-R (Imager), </w:t>
      </w:r>
      <w:r w:rsidRPr="00542F6E">
        <w:t xml:space="preserve">MTG (FCI), </w:t>
      </w:r>
      <w:r w:rsidR="00645ED7" w:rsidRPr="00542F6E">
        <w:t xml:space="preserve">and </w:t>
      </w:r>
      <w:r w:rsidRPr="00542F6E">
        <w:t>FY-4 (MCSI).</w:t>
      </w:r>
      <w:r>
        <w:t xml:space="preserve"> </w:t>
      </w:r>
      <w:r w:rsidR="00915CE6" w:rsidRPr="00150500">
        <w:t>SST-</w:t>
      </w:r>
      <w:r w:rsidR="00057B65" w:rsidRPr="00150500">
        <w:t>VC activities include coordination of capabilities of a much broader range of CEOS agency missions and ins</w:t>
      </w:r>
      <w:r w:rsidR="00915CE6" w:rsidRPr="00150500">
        <w:t xml:space="preserve">truments.  </w:t>
      </w:r>
    </w:p>
    <w:p w14:paraId="68E1AA19" w14:textId="1934076C" w:rsidR="00057B65" w:rsidRPr="00150500" w:rsidRDefault="00150500" w:rsidP="00542F6E">
      <w:pPr>
        <w:widowControl/>
        <w:tabs>
          <w:tab w:val="clear" w:pos="220"/>
          <w:tab w:val="clear" w:pos="284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150500">
        <w:t>Other SST</w:t>
      </w:r>
      <w:r w:rsidR="00057B65" w:rsidRPr="00150500">
        <w:t xml:space="preserve">-VC activities include </w:t>
      </w:r>
      <w:r w:rsidR="00F408E4">
        <w:t>the coordination of</w:t>
      </w:r>
      <w:r w:rsidRPr="00150500">
        <w:t xml:space="preserve"> homogenous SST climate data records from </w:t>
      </w:r>
      <w:r w:rsidR="00057B65" w:rsidRPr="00150500">
        <w:t>past space-based sensor</w:t>
      </w:r>
      <w:r w:rsidRPr="00150500">
        <w:t xml:space="preserve">s (dating from the early 1970s), </w:t>
      </w:r>
      <w:r w:rsidRPr="00150500">
        <w:rPr>
          <w:rFonts w:asciiTheme="minorHAnsi" w:hAnsiTheme="minorHAnsi"/>
          <w:sz w:val="22"/>
          <w:szCs w:val="22"/>
        </w:rPr>
        <w:t>b</w:t>
      </w:r>
      <w:r w:rsidRPr="007D66AF">
        <w:rPr>
          <w:rFonts w:asciiTheme="minorHAnsi" w:hAnsiTheme="minorHAnsi"/>
          <w:sz w:val="22"/>
          <w:szCs w:val="22"/>
        </w:rPr>
        <w:t>etter specification of uncertainty estimates within SST products</w:t>
      </w:r>
      <w:r>
        <w:rPr>
          <w:rFonts w:asciiTheme="minorHAnsi" w:hAnsiTheme="minorHAnsi"/>
          <w:sz w:val="22"/>
          <w:szCs w:val="22"/>
        </w:rPr>
        <w:t>, b</w:t>
      </w:r>
      <w:r w:rsidRPr="007D66AF">
        <w:rPr>
          <w:rFonts w:asciiTheme="minorHAnsi" w:hAnsiTheme="minorHAnsi"/>
          <w:sz w:val="22"/>
          <w:szCs w:val="22"/>
        </w:rPr>
        <w:t>etter use of reference sensors (e.g., ENVISAT AATSR and the Sentinel-3 SLSTR) within the Constellation,</w:t>
      </w:r>
      <w:r>
        <w:rPr>
          <w:rFonts w:asciiTheme="minorHAnsi" w:hAnsiTheme="minorHAnsi"/>
          <w:sz w:val="22"/>
          <w:szCs w:val="22"/>
        </w:rPr>
        <w:t xml:space="preserve"> and efforts to assure the</w:t>
      </w:r>
      <w:r w:rsidRPr="007D66AF">
        <w:rPr>
          <w:rFonts w:asciiTheme="minorHAnsi" w:hAnsiTheme="minorHAnsi"/>
          <w:sz w:val="22"/>
          <w:szCs w:val="22"/>
        </w:rPr>
        <w:t xml:space="preserve"> long-term continuit</w:t>
      </w:r>
      <w:r>
        <w:rPr>
          <w:rFonts w:asciiTheme="minorHAnsi" w:hAnsiTheme="minorHAnsi"/>
          <w:sz w:val="22"/>
          <w:szCs w:val="22"/>
        </w:rPr>
        <w:t>y of passive microwave SST data.</w:t>
      </w:r>
    </w:p>
    <w:p w14:paraId="34477899" w14:textId="77777777" w:rsidR="005F5B68" w:rsidRDefault="00FC5740" w:rsidP="0065490E">
      <w:r>
        <w:t xml:space="preserve">The CEOS </w:t>
      </w:r>
      <w:r w:rsidRPr="00271840">
        <w:t xml:space="preserve">Missions, Instruments and Measurements database (available at </w:t>
      </w:r>
      <w:hyperlink r:id="rId5" w:history="1">
        <w:r w:rsidRPr="00271840">
          <w:t>http://database.eohandbook.com/</w:t>
        </w:r>
      </w:hyperlink>
      <w:r w:rsidRPr="00271840">
        <w:t>) provides a comprehensive reference for SST missions.</w:t>
      </w:r>
      <w:r>
        <w:t xml:space="preserve">  </w:t>
      </w:r>
      <w:r w:rsidR="00845573">
        <w:t>Not all of these missions are currently contributed to GHRSST and the SST-VC.</w:t>
      </w:r>
      <w:r w:rsidR="00B17E4F">
        <w:t xml:space="preserve"> </w:t>
      </w:r>
    </w:p>
    <w:p w14:paraId="34EA4532" w14:textId="77777777" w:rsidR="00150500" w:rsidRPr="005F5B68" w:rsidRDefault="00150500" w:rsidP="0065490E"/>
    <w:p w14:paraId="1A6D712C" w14:textId="77777777" w:rsidR="0010508C" w:rsidRPr="00490A7E" w:rsidRDefault="004D62D6" w:rsidP="0065490E">
      <w:r w:rsidRPr="00542F6E">
        <w:t xml:space="preserve">Activities, </w:t>
      </w:r>
      <w:r w:rsidR="000A3A31" w:rsidRPr="00542F6E">
        <w:t>Outcomes</w:t>
      </w:r>
      <w:r w:rsidRPr="00542F6E">
        <w:t>,</w:t>
      </w:r>
      <w:r w:rsidR="000A3A31" w:rsidRPr="00542F6E">
        <w:t xml:space="preserve"> and deliverables</w:t>
      </w:r>
    </w:p>
    <w:p w14:paraId="739B6EF0" w14:textId="77777777" w:rsidR="002B6595" w:rsidRDefault="002B6595" w:rsidP="0065490E">
      <w:r>
        <w:t>The SST-VC has identified the following high-level outcomes and deliverables on 3- and 5-year horizons.  Annual activities leading toward these longer-term outcomes are identified and updated each year in the separate SST-VC Implementation Plan document.</w:t>
      </w:r>
    </w:p>
    <w:p w14:paraId="2CFBD1BE" w14:textId="77777777" w:rsidR="00EE3384" w:rsidRPr="00105BE6" w:rsidRDefault="00EE3384" w:rsidP="0065490E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3634"/>
        <w:gridCol w:w="3969"/>
      </w:tblGrid>
      <w:tr w:rsidR="000A3A31" w:rsidRPr="00105BE6" w14:paraId="6DC68A95" w14:textId="77777777" w:rsidTr="00126260">
        <w:tc>
          <w:tcPr>
            <w:tcW w:w="2320" w:type="dxa"/>
            <w:shd w:val="clear" w:color="auto" w:fill="99CCFF"/>
          </w:tcPr>
          <w:p w14:paraId="53AA36DF" w14:textId="77777777" w:rsidR="000A3A31" w:rsidRPr="00105BE6" w:rsidRDefault="000A3A31" w:rsidP="0065490E"/>
        </w:tc>
        <w:tc>
          <w:tcPr>
            <w:tcW w:w="3634" w:type="dxa"/>
            <w:shd w:val="clear" w:color="auto" w:fill="99CCFF"/>
          </w:tcPr>
          <w:p w14:paraId="4407E27A" w14:textId="77777777" w:rsidR="000A3A31" w:rsidRPr="00105BE6" w:rsidRDefault="000A3A31" w:rsidP="0065490E">
            <w:r w:rsidRPr="00105BE6">
              <w:t>3-year horizon</w:t>
            </w:r>
          </w:p>
        </w:tc>
        <w:tc>
          <w:tcPr>
            <w:tcW w:w="3969" w:type="dxa"/>
            <w:shd w:val="clear" w:color="auto" w:fill="99CCFF"/>
          </w:tcPr>
          <w:p w14:paraId="7D883783" w14:textId="77777777" w:rsidR="000A3A31" w:rsidRPr="00105BE6" w:rsidRDefault="000A3A31" w:rsidP="0065490E">
            <w:r w:rsidRPr="00105BE6">
              <w:t>5-years or more horizon</w:t>
            </w:r>
          </w:p>
        </w:tc>
      </w:tr>
      <w:tr w:rsidR="000A3A31" w:rsidRPr="00105BE6" w14:paraId="208FF539" w14:textId="77777777" w:rsidTr="00126260">
        <w:tc>
          <w:tcPr>
            <w:tcW w:w="2320" w:type="dxa"/>
            <w:shd w:val="clear" w:color="auto" w:fill="99CCFF"/>
          </w:tcPr>
          <w:p w14:paraId="74BF68D7" w14:textId="77777777" w:rsidR="000A3A31" w:rsidRPr="00105BE6" w:rsidRDefault="000A3A31" w:rsidP="0065490E">
            <w:r w:rsidRPr="00105BE6">
              <w:t>Space Segment</w:t>
            </w:r>
          </w:p>
        </w:tc>
        <w:tc>
          <w:tcPr>
            <w:tcW w:w="3634" w:type="dxa"/>
          </w:tcPr>
          <w:p w14:paraId="6E2603E7" w14:textId="77777777" w:rsidR="000A3A31" w:rsidRDefault="00C4461E" w:rsidP="0065490E">
            <w:pPr>
              <w:pStyle w:val="a3"/>
              <w:numPr>
                <w:ilvl w:val="0"/>
                <w:numId w:val="12"/>
              </w:numPr>
            </w:pPr>
            <w:r w:rsidRPr="00057B65">
              <w:t xml:space="preserve">Documented plan for </w:t>
            </w:r>
            <w:r w:rsidR="00490A7E">
              <w:t xml:space="preserve">the </w:t>
            </w:r>
            <w:r w:rsidR="00F408E4">
              <w:t>required virtual constellation</w:t>
            </w:r>
          </w:p>
          <w:p w14:paraId="4370A23D" w14:textId="77777777" w:rsidR="00490A7E" w:rsidRPr="00F408E4" w:rsidRDefault="00F408E4" w:rsidP="0065490E">
            <w:pPr>
              <w:pStyle w:val="a3"/>
              <w:numPr>
                <w:ilvl w:val="0"/>
                <w:numId w:val="12"/>
              </w:numPr>
            </w:pPr>
            <w:r w:rsidRPr="00A9082E">
              <w:t xml:space="preserve">The </w:t>
            </w:r>
            <w:r w:rsidR="0024298D" w:rsidRPr="00A9082E">
              <w:t>2015</w:t>
            </w:r>
            <w:r w:rsidRPr="00A9082E">
              <w:t xml:space="preserve"> constellation </w:t>
            </w:r>
            <w:r w:rsidR="0024298D" w:rsidRPr="00A9082E">
              <w:t>will have</w:t>
            </w:r>
            <w:r w:rsidRPr="00A9082E">
              <w:t xml:space="preserve"> many of the core elements required</w:t>
            </w:r>
            <w:r w:rsidR="000620BA" w:rsidRPr="00A9082E">
              <w:t xml:space="preserve"> to satisfy the main user requirements</w:t>
            </w:r>
            <w:r w:rsidR="00A9082E">
              <w:t xml:space="preserve"> (w</w:t>
            </w:r>
            <w:r w:rsidR="00A9082E" w:rsidRPr="00A9082E">
              <w:t xml:space="preserve">ith the planned launch of the first Sentinel-3 </w:t>
            </w:r>
            <w:r w:rsidR="00A9082E">
              <w:t xml:space="preserve">(with </w:t>
            </w:r>
            <w:r w:rsidR="00A9082E" w:rsidRPr="00A9082E">
              <w:t>SLSTR</w:t>
            </w:r>
            <w:r w:rsidR="008B4F11">
              <w:t>)</w:t>
            </w:r>
            <w:r w:rsidR="00A9082E" w:rsidRPr="00A9082E">
              <w:t xml:space="preserve"> </w:t>
            </w:r>
            <w:r w:rsidR="008B4F11">
              <w:t xml:space="preserve">closing </w:t>
            </w:r>
            <w:r w:rsidR="00A9082E" w:rsidRPr="00A9082E">
              <w:t>the current gap in dual-view IR capability</w:t>
            </w:r>
            <w:r w:rsidR="008B4F11">
              <w:t>).</w:t>
            </w:r>
          </w:p>
        </w:tc>
        <w:tc>
          <w:tcPr>
            <w:tcW w:w="3969" w:type="dxa"/>
          </w:tcPr>
          <w:p w14:paraId="530CD899" w14:textId="77777777" w:rsidR="000A3A31" w:rsidRPr="00F6097F" w:rsidRDefault="000620BA" w:rsidP="0065490E">
            <w:pPr>
              <w:pStyle w:val="a3"/>
              <w:numPr>
                <w:ilvl w:val="0"/>
                <w:numId w:val="12"/>
              </w:numPr>
            </w:pPr>
            <w:r>
              <w:t>It is hoped that sustained effort will</w:t>
            </w:r>
            <w:r w:rsidR="00F408E4">
              <w:t xml:space="preserve"> </w:t>
            </w:r>
            <w:r>
              <w:t>sustain</w:t>
            </w:r>
            <w:r w:rsidR="00F408E4">
              <w:t xml:space="preserve"> C-band passive micr</w:t>
            </w:r>
            <w:r w:rsidR="0024298D">
              <w:t xml:space="preserve">owave SST products and develop </w:t>
            </w:r>
            <w:r w:rsidR="00F408E4">
              <w:t>a real aperture capability approaching 10 km.</w:t>
            </w:r>
          </w:p>
          <w:p w14:paraId="2EDE48A3" w14:textId="77777777" w:rsidR="00F408E4" w:rsidRDefault="00F408E4" w:rsidP="0065490E">
            <w:pPr>
              <w:pStyle w:val="a3"/>
              <w:numPr>
                <w:ilvl w:val="0"/>
                <w:numId w:val="12"/>
              </w:numPr>
            </w:pPr>
            <w:r>
              <w:t>Dual-view IR reference sensor is expected to be reinstated with the launch of Sentinel-3 SLSTR</w:t>
            </w:r>
            <w:r w:rsidR="00F6097F">
              <w:t>.</w:t>
            </w:r>
          </w:p>
          <w:p w14:paraId="20957400" w14:textId="77777777" w:rsidR="00F6097F" w:rsidRPr="00F6097F" w:rsidRDefault="00F6097F" w:rsidP="0065490E">
            <w:pPr>
              <w:pStyle w:val="a3"/>
              <w:numPr>
                <w:ilvl w:val="0"/>
                <w:numId w:val="12"/>
              </w:numPr>
            </w:pPr>
            <w:r>
              <w:t>An optimistic launch schedule suggests that the IR imaging capability is well supported.</w:t>
            </w:r>
          </w:p>
        </w:tc>
      </w:tr>
      <w:tr w:rsidR="000A3A31" w:rsidRPr="00105BE6" w14:paraId="79234CCA" w14:textId="77777777" w:rsidTr="00126260">
        <w:tc>
          <w:tcPr>
            <w:tcW w:w="2320" w:type="dxa"/>
            <w:shd w:val="clear" w:color="auto" w:fill="99CCFF"/>
          </w:tcPr>
          <w:p w14:paraId="4DBF61A6" w14:textId="77777777" w:rsidR="000A3A31" w:rsidRPr="00105BE6" w:rsidRDefault="000A3A31" w:rsidP="0065490E">
            <w:r w:rsidRPr="00105BE6">
              <w:t>Ground Segment &amp; Information Systems</w:t>
            </w:r>
          </w:p>
        </w:tc>
        <w:tc>
          <w:tcPr>
            <w:tcW w:w="3634" w:type="dxa"/>
          </w:tcPr>
          <w:p w14:paraId="42120442" w14:textId="77777777" w:rsidR="000A3A31" w:rsidRPr="00F6097F" w:rsidRDefault="00490A7E" w:rsidP="0065490E">
            <w:pPr>
              <w:pStyle w:val="a3"/>
              <w:numPr>
                <w:ilvl w:val="0"/>
                <w:numId w:val="12"/>
              </w:numPr>
            </w:pPr>
            <w:r>
              <w:t xml:space="preserve">100% </w:t>
            </w:r>
            <w:r w:rsidR="00721D65" w:rsidRPr="00490A7E">
              <w:t>of GHRSST Products Discoverable through the CEOS IDN and CWIC system</w:t>
            </w:r>
          </w:p>
        </w:tc>
        <w:tc>
          <w:tcPr>
            <w:tcW w:w="3969" w:type="dxa"/>
          </w:tcPr>
          <w:p w14:paraId="483A217B" w14:textId="77777777" w:rsidR="000A3A31" w:rsidRPr="00F6097F" w:rsidRDefault="00490A7E" w:rsidP="0065490E">
            <w:pPr>
              <w:pStyle w:val="a3"/>
              <w:numPr>
                <w:ilvl w:val="0"/>
                <w:numId w:val="12"/>
              </w:numPr>
            </w:pPr>
            <w:r>
              <w:t>100</w:t>
            </w:r>
            <w:proofErr w:type="gramStart"/>
            <w:r>
              <w:t xml:space="preserve">% </w:t>
            </w:r>
            <w:r w:rsidRPr="00490A7E">
              <w:t xml:space="preserve"> of</w:t>
            </w:r>
            <w:proofErr w:type="gramEnd"/>
            <w:r w:rsidRPr="00490A7E">
              <w:t xml:space="preserve"> GHRSST Products Discoverable through the CEOS IDN and CWIC system</w:t>
            </w:r>
          </w:p>
        </w:tc>
      </w:tr>
      <w:tr w:rsidR="000A3A31" w:rsidRPr="00105BE6" w14:paraId="7BC0603D" w14:textId="77777777" w:rsidTr="00126260">
        <w:tc>
          <w:tcPr>
            <w:tcW w:w="2320" w:type="dxa"/>
            <w:shd w:val="clear" w:color="auto" w:fill="99CCFF"/>
          </w:tcPr>
          <w:p w14:paraId="5A45CACE" w14:textId="77777777" w:rsidR="000A3A31" w:rsidRPr="00105BE6" w:rsidRDefault="000A3A31" w:rsidP="0065490E">
            <w:r w:rsidRPr="00105BE6">
              <w:lastRenderedPageBreak/>
              <w:t>Products &amp; Services</w:t>
            </w:r>
          </w:p>
        </w:tc>
        <w:tc>
          <w:tcPr>
            <w:tcW w:w="3634" w:type="dxa"/>
          </w:tcPr>
          <w:p w14:paraId="4282308E" w14:textId="77777777" w:rsidR="000A3A31" w:rsidRDefault="00C4461E" w:rsidP="0065490E">
            <w:pPr>
              <w:pStyle w:val="a3"/>
              <w:numPr>
                <w:ilvl w:val="0"/>
                <w:numId w:val="12"/>
              </w:numPr>
            </w:pPr>
            <w:r w:rsidRPr="00490A7E">
              <w:t>GDS2.0 specification in widespread use; Fully developed Climate Data Assessment Framework (CDAF)</w:t>
            </w:r>
          </w:p>
          <w:p w14:paraId="178D8AC2" w14:textId="77777777" w:rsidR="00F6097F" w:rsidRDefault="00F6097F" w:rsidP="0065490E">
            <w:pPr>
              <w:pStyle w:val="a3"/>
              <w:numPr>
                <w:ilvl w:val="0"/>
                <w:numId w:val="12"/>
              </w:numPr>
            </w:pPr>
            <w:r>
              <w:t>International exchange of common-specification data sets in place for many (but not all) SST satellite sensors</w:t>
            </w:r>
          </w:p>
          <w:p w14:paraId="2C10FFC8" w14:textId="77777777" w:rsidR="00F6097F" w:rsidRPr="00490A7E" w:rsidRDefault="00F6097F" w:rsidP="0065490E">
            <w:pPr>
              <w:pStyle w:val="a3"/>
              <w:numPr>
                <w:ilvl w:val="0"/>
                <w:numId w:val="12"/>
              </w:numPr>
            </w:pPr>
            <w:r>
              <w:t>Basic uncertainty information attached to some data sets</w:t>
            </w:r>
          </w:p>
        </w:tc>
        <w:tc>
          <w:tcPr>
            <w:tcW w:w="3969" w:type="dxa"/>
          </w:tcPr>
          <w:p w14:paraId="23316430" w14:textId="77777777" w:rsidR="00490A7E" w:rsidRPr="00F6097F" w:rsidRDefault="00F6097F" w:rsidP="0065490E">
            <w:pPr>
              <w:pStyle w:val="a3"/>
              <w:numPr>
                <w:ilvl w:val="0"/>
                <w:numId w:val="12"/>
              </w:numPr>
            </w:pPr>
            <w:r>
              <w:t xml:space="preserve">SST </w:t>
            </w:r>
            <w:r w:rsidR="00C4461E" w:rsidRPr="00490A7E">
              <w:t>C</w:t>
            </w:r>
            <w:r w:rsidR="00F408E4">
              <w:t xml:space="preserve">limate </w:t>
            </w:r>
            <w:r w:rsidR="00C4461E" w:rsidRPr="00490A7E">
              <w:t>D</w:t>
            </w:r>
            <w:r>
              <w:t xml:space="preserve">ata </w:t>
            </w:r>
            <w:r w:rsidR="00C4461E" w:rsidRPr="00490A7E">
              <w:t>A</w:t>
            </w:r>
            <w:r>
              <w:t xml:space="preserve">ssessment </w:t>
            </w:r>
            <w:r w:rsidRPr="00490A7E">
              <w:t>F</w:t>
            </w:r>
            <w:r>
              <w:t>ramework (CDAF)</w:t>
            </w:r>
            <w:r w:rsidR="00C4461E" w:rsidRPr="00490A7E">
              <w:t xml:space="preserve"> implemented routinely for all GHRSST data designated as </w:t>
            </w:r>
            <w:r w:rsidR="00A1796D" w:rsidRPr="00490A7E">
              <w:t>ECV</w:t>
            </w:r>
            <w:r w:rsidR="00C4461E" w:rsidRPr="00F6097F">
              <w:t xml:space="preserve"> </w:t>
            </w:r>
            <w:r w:rsidR="00C4461E" w:rsidRPr="00490A7E">
              <w:t>products</w:t>
            </w:r>
            <w:r>
              <w:t>.</w:t>
            </w:r>
          </w:p>
          <w:p w14:paraId="38DD58AF" w14:textId="77777777" w:rsidR="00F6097F" w:rsidRPr="00F6097F" w:rsidRDefault="00F6097F" w:rsidP="0065490E">
            <w:pPr>
              <w:pStyle w:val="a3"/>
              <w:numPr>
                <w:ilvl w:val="0"/>
                <w:numId w:val="12"/>
              </w:numPr>
            </w:pPr>
            <w:r w:rsidRPr="00F6097F">
              <w:t>International exchange of all SST satellite data sets using common specifications.</w:t>
            </w:r>
          </w:p>
          <w:p w14:paraId="1EA003D9" w14:textId="77777777" w:rsidR="00F6097F" w:rsidRPr="00F6097F" w:rsidRDefault="00F6097F" w:rsidP="0065490E">
            <w:pPr>
              <w:pStyle w:val="a3"/>
              <w:numPr>
                <w:ilvl w:val="0"/>
                <w:numId w:val="12"/>
              </w:numPr>
            </w:pPr>
            <w:r w:rsidRPr="00F6097F">
              <w:t>Uncertainty estimates attached to all SST data sets</w:t>
            </w:r>
          </w:p>
        </w:tc>
      </w:tr>
    </w:tbl>
    <w:p w14:paraId="1E38FE25" w14:textId="77777777" w:rsidR="000A3A31" w:rsidRPr="00105BE6" w:rsidRDefault="000A3A31" w:rsidP="0065490E">
      <w:pPr>
        <w:rPr>
          <w:b/>
          <w:smallCaps/>
        </w:rPr>
      </w:pPr>
      <w:r w:rsidRPr="00105BE6">
        <w:rPr>
          <w:b/>
        </w:rPr>
        <w:br/>
      </w:r>
      <w:r w:rsidRPr="00105BE6">
        <w:t xml:space="preserve">Reports to SIT from the </w:t>
      </w:r>
      <w:r w:rsidR="003605EB">
        <w:t>SST-VC</w:t>
      </w:r>
      <w:r w:rsidRPr="00105BE6">
        <w:t xml:space="preserve"> will emphasise progress towards achievement of these outcomes and deliverables and the issues and obstacles for SIT attention.</w:t>
      </w:r>
    </w:p>
    <w:p w14:paraId="0B7AA032" w14:textId="77777777" w:rsidR="00F9167D" w:rsidRPr="00490A7E" w:rsidRDefault="00F9167D" w:rsidP="0065490E">
      <w:r w:rsidRPr="00490A7E">
        <w:t xml:space="preserve">Implementation and coordination issues to be addressed by SIT </w:t>
      </w:r>
    </w:p>
    <w:p w14:paraId="7A604DF7" w14:textId="77777777" w:rsidR="00490A7E" w:rsidRDefault="00490A7E" w:rsidP="0065490E">
      <w:r>
        <w:t xml:space="preserve">Achievement of the SST-VC objectives </w:t>
      </w:r>
      <w:proofErr w:type="gramStart"/>
      <w:r>
        <w:t>requires</w:t>
      </w:r>
      <w:proofErr w:type="gramEnd"/>
      <w:r>
        <w:t xml:space="preserve"> the following implementation and coordination issues to be addressed by SIT:</w:t>
      </w:r>
    </w:p>
    <w:p w14:paraId="5B9BF896" w14:textId="77777777" w:rsidR="00EE3384" w:rsidRPr="001A66B1" w:rsidRDefault="00EE3384" w:rsidP="0065490E">
      <w:pPr>
        <w:pStyle w:val="a3"/>
        <w:numPr>
          <w:ilvl w:val="0"/>
          <w:numId w:val="14"/>
        </w:numPr>
        <w:rPr>
          <w:rFonts w:eastAsia="ＭＳ 明朝"/>
        </w:rPr>
      </w:pPr>
      <w:r w:rsidRPr="001A66B1">
        <w:rPr>
          <w:rFonts w:eastAsia="ＭＳ 明朝"/>
        </w:rPr>
        <w:t>The necessary CEOS agency participation in the generation of SST data products and coordination activities.</w:t>
      </w:r>
    </w:p>
    <w:p w14:paraId="099C7613" w14:textId="77777777" w:rsidR="00EE3384" w:rsidRPr="001A66B1" w:rsidRDefault="00EE3384" w:rsidP="0065490E">
      <w:pPr>
        <w:pStyle w:val="a3"/>
        <w:numPr>
          <w:ilvl w:val="0"/>
          <w:numId w:val="14"/>
        </w:numPr>
        <w:rPr>
          <w:rFonts w:eastAsia="ＭＳ 明朝"/>
        </w:rPr>
      </w:pPr>
      <w:r w:rsidRPr="001A66B1">
        <w:rPr>
          <w:rFonts w:eastAsia="ＭＳ 明朝"/>
        </w:rPr>
        <w:t>CEOS agency participation in Satellite SST metrics to assess, monitor and improve the collective SST capability for user communities.</w:t>
      </w:r>
    </w:p>
    <w:p w14:paraId="526A79BD" w14:textId="77777777" w:rsidR="00EE3384" w:rsidRPr="001A66B1" w:rsidRDefault="00EE3384" w:rsidP="0065490E">
      <w:pPr>
        <w:pStyle w:val="a3"/>
        <w:numPr>
          <w:ilvl w:val="0"/>
          <w:numId w:val="14"/>
        </w:numPr>
        <w:rPr>
          <w:rFonts w:eastAsia="ＭＳ 明朝"/>
        </w:rPr>
      </w:pPr>
      <w:r w:rsidRPr="001A66B1">
        <w:rPr>
          <w:rFonts w:eastAsia="ＭＳ 明朝"/>
        </w:rPr>
        <w:t xml:space="preserve">Support to the SST-VC activities striving to achieve and maintain </w:t>
      </w:r>
      <w:proofErr w:type="gramStart"/>
      <w:r w:rsidRPr="001A66B1">
        <w:rPr>
          <w:rFonts w:eastAsia="ＭＳ 明朝"/>
        </w:rPr>
        <w:t>standards based</w:t>
      </w:r>
      <w:proofErr w:type="gramEnd"/>
      <w:r w:rsidRPr="001A66B1">
        <w:rPr>
          <w:rFonts w:eastAsia="ＭＳ 明朝"/>
        </w:rPr>
        <w:t xml:space="preserve"> traceability for on-orbit validation activities (i.e. in situ radiometer round-robin activity).</w:t>
      </w:r>
    </w:p>
    <w:p w14:paraId="59CD2266" w14:textId="77777777" w:rsidR="00EE3384" w:rsidRPr="00542F6E" w:rsidRDefault="00EE3384" w:rsidP="0065490E">
      <w:pPr>
        <w:pStyle w:val="a3"/>
        <w:numPr>
          <w:ilvl w:val="0"/>
          <w:numId w:val="14"/>
        </w:numPr>
        <w:rPr>
          <w:rFonts w:eastAsia="ＭＳ 明朝"/>
        </w:rPr>
      </w:pPr>
      <w:r w:rsidRPr="00542F6E">
        <w:rPr>
          <w:rFonts w:eastAsia="ＭＳ 明朝"/>
        </w:rPr>
        <w:t>Endorsement of the SST-VC white paper describing and justifying the overall scope and components of the CEOS SST- Virtual constellation.</w:t>
      </w:r>
    </w:p>
    <w:p w14:paraId="2DAD7B9F" w14:textId="77777777" w:rsidR="0010508C" w:rsidRDefault="0010508C" w:rsidP="0065490E"/>
    <w:p w14:paraId="736C510F" w14:textId="77777777" w:rsidR="00DD5051" w:rsidRPr="001A66B1" w:rsidRDefault="000A3A31" w:rsidP="0065490E">
      <w:r w:rsidRPr="00490A7E">
        <w:t>Schedule</w:t>
      </w:r>
    </w:p>
    <w:tbl>
      <w:tblPr>
        <w:tblW w:w="506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857"/>
        <w:gridCol w:w="3109"/>
        <w:gridCol w:w="3109"/>
      </w:tblGrid>
      <w:tr w:rsidR="00D92D50" w:rsidRPr="007D1102" w14:paraId="488C4F99" w14:textId="77777777" w:rsidTr="00D92D50">
        <w:trPr>
          <w:trHeight w:val="14"/>
        </w:trPr>
        <w:tc>
          <w:tcPr>
            <w:tcW w:w="1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EA589" w14:textId="77777777" w:rsidR="00D92D50" w:rsidRPr="007D1102" w:rsidRDefault="00D92D50" w:rsidP="0065490E">
            <w:r w:rsidRPr="007D1102">
              <w:t>Activity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38D140A0" w14:textId="77777777" w:rsidR="00D92D50" w:rsidRPr="007D1102" w:rsidRDefault="00D92D50" w:rsidP="0065490E">
            <w:r w:rsidRPr="007D1102">
              <w:t>Milestone</w:t>
            </w:r>
          </w:p>
        </w:tc>
        <w:tc>
          <w:tcPr>
            <w:tcW w:w="1543" w:type="pct"/>
            <w:shd w:val="clear" w:color="auto" w:fill="auto"/>
          </w:tcPr>
          <w:p w14:paraId="4EA91B62" w14:textId="77777777" w:rsidR="00D92D50" w:rsidRPr="007D1102" w:rsidRDefault="00D92D50" w:rsidP="0065490E">
            <w:r w:rsidRPr="007D1102">
              <w:t>Target Date</w:t>
            </w:r>
          </w:p>
        </w:tc>
      </w:tr>
      <w:tr w:rsidR="00D92D50" w:rsidRPr="00D92D50" w14:paraId="22FAB46A" w14:textId="77777777" w:rsidTr="00D92D50">
        <w:trPr>
          <w:trHeight w:val="14"/>
        </w:trPr>
        <w:tc>
          <w:tcPr>
            <w:tcW w:w="1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687FC" w14:textId="77777777" w:rsidR="00D92D50" w:rsidRPr="00D92D50" w:rsidRDefault="007D1102" w:rsidP="0065490E">
            <w:r>
              <w:t>1</w:t>
            </w:r>
            <w:r w:rsidR="00D92D50" w:rsidRPr="00D92D50">
              <w:t>. Develop and optimize the SST constellation</w:t>
            </w:r>
          </w:p>
        </w:tc>
        <w:tc>
          <w:tcPr>
            <w:tcW w:w="1543" w:type="pct"/>
            <w:shd w:val="clear" w:color="auto" w:fill="auto"/>
          </w:tcPr>
          <w:p w14:paraId="462B9B80" w14:textId="77777777" w:rsidR="00D92D50" w:rsidRPr="00D92D50" w:rsidRDefault="00D92D50" w:rsidP="0065490E">
            <w:r>
              <w:t>Develop a White Paper describing and justifying the SST- Virtual constellation</w:t>
            </w:r>
            <w:r w:rsidRPr="00D92D50">
              <w:t>.</w:t>
            </w:r>
          </w:p>
        </w:tc>
        <w:tc>
          <w:tcPr>
            <w:tcW w:w="1543" w:type="pct"/>
            <w:shd w:val="clear" w:color="auto" w:fill="auto"/>
          </w:tcPr>
          <w:p w14:paraId="11F945E2" w14:textId="77777777" w:rsidR="00D92D50" w:rsidRPr="00D92D50" w:rsidRDefault="00D92D50" w:rsidP="0065490E">
            <w:r>
              <w:t>Sept. 201</w:t>
            </w:r>
            <w:r w:rsidR="001A66B1">
              <w:t>5</w:t>
            </w:r>
          </w:p>
        </w:tc>
      </w:tr>
      <w:tr w:rsidR="00D92D50" w:rsidRPr="00D92D50" w14:paraId="573DF33E" w14:textId="77777777" w:rsidTr="00D92D50">
        <w:trPr>
          <w:trHeight w:val="217"/>
        </w:trPr>
        <w:tc>
          <w:tcPr>
            <w:tcW w:w="1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7FAA9" w14:textId="77777777" w:rsidR="00D92D50" w:rsidRPr="00D92D50" w:rsidRDefault="007D1102" w:rsidP="0065490E">
            <w:r>
              <w:t>2</w:t>
            </w:r>
            <w:r w:rsidR="00D92D50" w:rsidRPr="00D92D50">
              <w:t>. Develop and implement metrics for SST services, products, and users</w:t>
            </w:r>
          </w:p>
        </w:tc>
        <w:tc>
          <w:tcPr>
            <w:tcW w:w="1543" w:type="pct"/>
            <w:shd w:val="clear" w:color="auto" w:fill="auto"/>
          </w:tcPr>
          <w:p w14:paraId="0C87E90F" w14:textId="77777777" w:rsidR="00D92D50" w:rsidRDefault="00D92D50" w:rsidP="0065490E">
            <w:r>
              <w:t>Focus discussion at 2014 GHRSST/SST-VC workshop</w:t>
            </w:r>
          </w:p>
          <w:p w14:paraId="550498C0" w14:textId="77777777" w:rsidR="00D92D50" w:rsidRPr="00D92D50" w:rsidRDefault="00D92D50" w:rsidP="0065490E">
            <w:r>
              <w:t>Preparation of position paper</w:t>
            </w:r>
          </w:p>
        </w:tc>
        <w:tc>
          <w:tcPr>
            <w:tcW w:w="1543" w:type="pct"/>
            <w:shd w:val="clear" w:color="auto" w:fill="auto"/>
          </w:tcPr>
          <w:p w14:paraId="2C64CF59" w14:textId="77777777" w:rsidR="007D1102" w:rsidRDefault="001A66B1" w:rsidP="0065490E">
            <w:r>
              <w:t>June 2015</w:t>
            </w:r>
          </w:p>
          <w:p w14:paraId="32735BC1" w14:textId="77777777" w:rsidR="007D1102" w:rsidRDefault="007D1102" w:rsidP="0065490E"/>
          <w:p w14:paraId="0E93CD76" w14:textId="77777777" w:rsidR="00D92D50" w:rsidRPr="00D92D50" w:rsidRDefault="00D92D50" w:rsidP="0065490E">
            <w:r>
              <w:t>September 201</w:t>
            </w:r>
            <w:r w:rsidR="001A66B1">
              <w:t>5</w:t>
            </w:r>
          </w:p>
        </w:tc>
      </w:tr>
      <w:tr w:rsidR="00D92D50" w:rsidRPr="00D92D50" w14:paraId="56812840" w14:textId="77777777" w:rsidTr="00D92D50">
        <w:trPr>
          <w:trHeight w:val="14"/>
        </w:trPr>
        <w:tc>
          <w:tcPr>
            <w:tcW w:w="1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98762" w14:textId="77777777" w:rsidR="00D92D50" w:rsidRPr="00D92D50" w:rsidRDefault="007D1102" w:rsidP="0065490E">
            <w:r>
              <w:t>3</w:t>
            </w:r>
            <w:r w:rsidR="00D92D50" w:rsidRPr="00D92D50">
              <w:t>. Coordinate consensus SST reference documents</w:t>
            </w:r>
          </w:p>
        </w:tc>
        <w:tc>
          <w:tcPr>
            <w:tcW w:w="1543" w:type="pct"/>
            <w:shd w:val="clear" w:color="auto" w:fill="auto"/>
          </w:tcPr>
          <w:p w14:paraId="48BBB017" w14:textId="77777777" w:rsidR="00D92D50" w:rsidRPr="00D92D50" w:rsidRDefault="007D1102" w:rsidP="0065490E">
            <w:r>
              <w:t xml:space="preserve">Publish updated </w:t>
            </w:r>
            <w:r w:rsidR="00D92D50" w:rsidRPr="00D92D50">
              <w:t>GHRSST Data Spe</w:t>
            </w:r>
            <w:r>
              <w:t>cification 2.0 (GDS2)</w:t>
            </w:r>
            <w:r w:rsidR="00D92D50" w:rsidRPr="00D92D50">
              <w:t>.</w:t>
            </w:r>
          </w:p>
        </w:tc>
        <w:tc>
          <w:tcPr>
            <w:tcW w:w="1543" w:type="pct"/>
            <w:shd w:val="clear" w:color="auto" w:fill="auto"/>
          </w:tcPr>
          <w:p w14:paraId="635F3500" w14:textId="77777777" w:rsidR="00D92D50" w:rsidRPr="00D92D50" w:rsidRDefault="007D1102" w:rsidP="0065490E">
            <w:r>
              <w:t>Annually</w:t>
            </w:r>
          </w:p>
        </w:tc>
      </w:tr>
      <w:tr w:rsidR="00D92D50" w:rsidRPr="00D92D50" w14:paraId="425E5047" w14:textId="77777777" w:rsidTr="00D92D50">
        <w:trPr>
          <w:trHeight w:val="14"/>
        </w:trPr>
        <w:tc>
          <w:tcPr>
            <w:tcW w:w="1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204A1" w14:textId="77777777" w:rsidR="00D92D50" w:rsidRPr="00D92D50" w:rsidRDefault="007D1102" w:rsidP="0065490E">
            <w:r>
              <w:t>4</w:t>
            </w:r>
            <w:r w:rsidR="00D92D50" w:rsidRPr="00D92D50">
              <w:t>. Encourage timely access to products</w:t>
            </w:r>
          </w:p>
        </w:tc>
        <w:tc>
          <w:tcPr>
            <w:tcW w:w="1543" w:type="pct"/>
            <w:shd w:val="clear" w:color="auto" w:fill="auto"/>
          </w:tcPr>
          <w:p w14:paraId="66A8651C" w14:textId="77777777" w:rsidR="00D92D50" w:rsidRPr="00D92D50" w:rsidRDefault="00D92D50" w:rsidP="0065490E">
            <w:r w:rsidRPr="00D92D50">
              <w:t>53/60 GHRSST now fully integrated in IDN/CWIC (WGISS)</w:t>
            </w:r>
          </w:p>
        </w:tc>
        <w:tc>
          <w:tcPr>
            <w:tcW w:w="1543" w:type="pct"/>
            <w:shd w:val="clear" w:color="auto" w:fill="auto"/>
          </w:tcPr>
          <w:p w14:paraId="653BCE18" w14:textId="77777777" w:rsidR="00D92D50" w:rsidRPr="00D92D50" w:rsidRDefault="007D1102" w:rsidP="0065490E">
            <w:r>
              <w:t>Complete by Sept. 2014</w:t>
            </w:r>
          </w:p>
        </w:tc>
      </w:tr>
      <w:tr w:rsidR="00D92D50" w:rsidRPr="00D92D50" w14:paraId="2A95BB74" w14:textId="77777777" w:rsidTr="00D92D50">
        <w:trPr>
          <w:trHeight w:val="14"/>
        </w:trPr>
        <w:tc>
          <w:tcPr>
            <w:tcW w:w="1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A7A4D" w14:textId="77777777" w:rsidR="00D92D50" w:rsidRPr="00D92D50" w:rsidRDefault="007D1102" w:rsidP="0065490E">
            <w:r>
              <w:lastRenderedPageBreak/>
              <w:t>5</w:t>
            </w:r>
            <w:r w:rsidR="00D92D50" w:rsidRPr="00D92D50">
              <w:t>. Develop and improve the satellite SST ECV</w:t>
            </w:r>
          </w:p>
        </w:tc>
        <w:tc>
          <w:tcPr>
            <w:tcW w:w="1543" w:type="pct"/>
            <w:shd w:val="clear" w:color="auto" w:fill="auto"/>
          </w:tcPr>
          <w:p w14:paraId="5972B2E3" w14:textId="77777777" w:rsidR="00D92D50" w:rsidRPr="00D92D50" w:rsidRDefault="007D1102" w:rsidP="0065490E">
            <w:r>
              <w:t>Complete and publish the SST Climate Data Assessment Framework (CDAF)</w:t>
            </w:r>
          </w:p>
        </w:tc>
        <w:tc>
          <w:tcPr>
            <w:tcW w:w="1543" w:type="pct"/>
            <w:shd w:val="clear" w:color="auto" w:fill="auto"/>
          </w:tcPr>
          <w:p w14:paraId="2045A348" w14:textId="77777777" w:rsidR="00D92D50" w:rsidRPr="00D92D50" w:rsidRDefault="007D1102" w:rsidP="0065490E">
            <w:r>
              <w:t>2014</w:t>
            </w:r>
            <w:r w:rsidR="001A66B1">
              <w:t>/15</w:t>
            </w:r>
          </w:p>
        </w:tc>
      </w:tr>
      <w:tr w:rsidR="00D92D50" w:rsidRPr="00D92D50" w14:paraId="10A6839D" w14:textId="77777777" w:rsidTr="00D92D50">
        <w:trPr>
          <w:trHeight w:val="14"/>
        </w:trPr>
        <w:tc>
          <w:tcPr>
            <w:tcW w:w="1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510C1" w14:textId="77777777" w:rsidR="00D92D50" w:rsidRPr="00D92D50" w:rsidRDefault="007D1102" w:rsidP="0065490E">
            <w:r>
              <w:t>6</w:t>
            </w:r>
            <w:r w:rsidR="00D92D50" w:rsidRPr="00D92D50">
              <w:t>. Improve SST calibration, inter-calibration, and validation</w:t>
            </w:r>
          </w:p>
        </w:tc>
        <w:tc>
          <w:tcPr>
            <w:tcW w:w="1543" w:type="pct"/>
            <w:shd w:val="clear" w:color="auto" w:fill="auto"/>
          </w:tcPr>
          <w:p w14:paraId="6DA09E1E" w14:textId="77777777" w:rsidR="00D92D50" w:rsidRPr="00D92D50" w:rsidRDefault="007D1102" w:rsidP="0065490E">
            <w:r>
              <w:t xml:space="preserve">Hold an </w:t>
            </w:r>
            <w:r w:rsidR="00D92D50" w:rsidRPr="00D92D50">
              <w:t>IR radiometer inter</w:t>
            </w:r>
            <w:r>
              <w:t>-comparison exercise</w:t>
            </w:r>
            <w:r w:rsidR="00D92D50" w:rsidRPr="00D92D50">
              <w:t xml:space="preserve"> </w:t>
            </w:r>
            <w:r>
              <w:t>building on the ISSI focus group conclusions</w:t>
            </w:r>
          </w:p>
        </w:tc>
        <w:tc>
          <w:tcPr>
            <w:tcW w:w="1543" w:type="pct"/>
            <w:shd w:val="clear" w:color="auto" w:fill="auto"/>
          </w:tcPr>
          <w:p w14:paraId="45DED537" w14:textId="77777777" w:rsidR="00D92D50" w:rsidRPr="00D92D50" w:rsidRDefault="007D1102" w:rsidP="0065490E">
            <w:r>
              <w:t>2015</w:t>
            </w:r>
          </w:p>
        </w:tc>
      </w:tr>
    </w:tbl>
    <w:p w14:paraId="5F13CF56" w14:textId="77777777" w:rsidR="00D92D50" w:rsidRDefault="00D92D50" w:rsidP="0065490E"/>
    <w:p w14:paraId="16060404" w14:textId="77777777" w:rsidR="00F84643" w:rsidRPr="0001329D" w:rsidRDefault="00F84643" w:rsidP="0065490E">
      <w:r>
        <w:t xml:space="preserve">SST-VC meets </w:t>
      </w:r>
      <w:r w:rsidRPr="00105BE6">
        <w:t>normally once per year in conjunction with the annual GHRSST Science Team Meeting</w:t>
      </w:r>
    </w:p>
    <w:p w14:paraId="7FD4C4E6" w14:textId="77777777" w:rsidR="0010508C" w:rsidRDefault="00DD5051" w:rsidP="0065490E">
      <w:r>
        <w:t xml:space="preserve">More details of the </w:t>
      </w:r>
      <w:r w:rsidR="0010508C">
        <w:t>SST-VC schedule</w:t>
      </w:r>
      <w:r w:rsidR="0001329D">
        <w:t xml:space="preserve"> of activities</w:t>
      </w:r>
      <w:r w:rsidR="0010508C">
        <w:t xml:space="preserve"> </w:t>
      </w:r>
      <w:r>
        <w:t xml:space="preserve">and milestones </w:t>
      </w:r>
      <w:r w:rsidR="0010508C">
        <w:t>is maintained and updated annually in the separate SST-VC Implementation Plan document.</w:t>
      </w:r>
    </w:p>
    <w:p w14:paraId="20929548" w14:textId="77777777" w:rsidR="00E259B3" w:rsidRDefault="00E259B3" w:rsidP="0065490E"/>
    <w:p w14:paraId="4855BEFB" w14:textId="77777777" w:rsidR="005464C3" w:rsidRDefault="005464C3" w:rsidP="0065490E"/>
    <w:p w14:paraId="1C8C6F2A" w14:textId="77777777" w:rsidR="005464C3" w:rsidRDefault="005464C3" w:rsidP="0065490E"/>
    <w:p w14:paraId="77C79305" w14:textId="0A2850DE" w:rsidR="0095418E" w:rsidRPr="00490A7E" w:rsidRDefault="000A3A31" w:rsidP="0065490E">
      <w:r w:rsidRPr="00490A7E">
        <w:t>Membership and leadership</w:t>
      </w:r>
      <w:r w:rsidR="008337F5">
        <w:rPr>
          <w:rFonts w:hint="eastAsia"/>
        </w:rPr>
        <w:t xml:space="preserve"> (as of June 2024)</w:t>
      </w:r>
    </w:p>
    <w:p w14:paraId="67086ADD" w14:textId="77777777" w:rsidR="00DD5051" w:rsidRDefault="00DD5051" w:rsidP="0065490E">
      <w:r w:rsidRPr="00E54B17">
        <w:t>Current Co-Leads</w:t>
      </w:r>
      <w:r>
        <w:t xml:space="preserve"> are:</w:t>
      </w:r>
    </w:p>
    <w:p w14:paraId="033D8397" w14:textId="106FD6D7" w:rsidR="00DD5051" w:rsidRPr="00964189" w:rsidRDefault="00C070A0" w:rsidP="0065490E">
      <w:pPr>
        <w:pStyle w:val="a3"/>
        <w:numPr>
          <w:ilvl w:val="0"/>
          <w:numId w:val="9"/>
        </w:numPr>
      </w:pPr>
      <w:r>
        <w:t>SANSA</w:t>
      </w:r>
      <w:r w:rsidR="00492182">
        <w:t>, C</w:t>
      </w:r>
      <w:r>
        <w:t>hristo Peter Whittle</w:t>
      </w:r>
      <w:r w:rsidR="00DD5051" w:rsidRPr="00DD5051">
        <w:t xml:space="preserve"> (</w:t>
      </w:r>
      <w:hyperlink r:id="rId6" w:history="1">
        <w:r w:rsidR="008337F5" w:rsidRPr="00196506">
          <w:rPr>
            <w:rStyle w:val="a6"/>
          </w:rPr>
          <w:t>Cwhittle@csir.co.za</w:t>
        </w:r>
      </w:hyperlink>
      <w:r w:rsidR="00DD5051" w:rsidRPr="00DD5051">
        <w:t>)</w:t>
      </w:r>
    </w:p>
    <w:p w14:paraId="47F566AF" w14:textId="146266F4" w:rsidR="008337F5" w:rsidRPr="00DD5051" w:rsidRDefault="008337F5" w:rsidP="0065490E">
      <w:pPr>
        <w:pStyle w:val="a3"/>
        <w:numPr>
          <w:ilvl w:val="0"/>
          <w:numId w:val="9"/>
        </w:numPr>
      </w:pPr>
      <w:r>
        <w:rPr>
          <w:rFonts w:eastAsiaTheme="minorEastAsia" w:hint="eastAsia"/>
          <w:lang w:eastAsia="ja-JP"/>
        </w:rPr>
        <w:t>JAXA, Misako Kachi (k</w:t>
      </w:r>
      <w:r>
        <w:rPr>
          <w:rFonts w:eastAsiaTheme="minorEastAsia"/>
          <w:lang w:eastAsia="ja-JP"/>
        </w:rPr>
        <w:t>achi</w:t>
      </w:r>
      <w:r>
        <w:rPr>
          <w:rFonts w:eastAsiaTheme="minorEastAsia" w:hint="eastAsia"/>
          <w:lang w:eastAsia="ja-JP"/>
        </w:rPr>
        <w:t>.misako@jaxa.jp)</w:t>
      </w:r>
    </w:p>
    <w:p w14:paraId="659282C3" w14:textId="31B97C69" w:rsidR="00F6097F" w:rsidRDefault="00DD5051" w:rsidP="0065490E">
      <w:r w:rsidRPr="00DD5051">
        <w:t>And the following CEOS agencie</w:t>
      </w:r>
      <w:r>
        <w:t>s are actively involved in SST</w:t>
      </w:r>
      <w:r w:rsidR="00F6097F">
        <w:t>-VC: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8263"/>
      </w:tblGrid>
      <w:tr w:rsidR="008337F5" w:rsidRPr="00F6097F" w14:paraId="297D3B3E" w14:textId="77777777" w:rsidTr="00964189">
        <w:tc>
          <w:tcPr>
            <w:tcW w:w="1701" w:type="dxa"/>
          </w:tcPr>
          <w:p w14:paraId="41AF61DA" w14:textId="6943B823" w:rsidR="008337F5" w:rsidRPr="00130819" w:rsidRDefault="008337F5" w:rsidP="008337F5">
            <w:r>
              <w:rPr>
                <w:rFonts w:hint="eastAsia"/>
              </w:rPr>
              <w:t>NASA</w:t>
            </w:r>
          </w:p>
        </w:tc>
        <w:tc>
          <w:tcPr>
            <w:tcW w:w="8263" w:type="dxa"/>
          </w:tcPr>
          <w:p w14:paraId="0049C7A8" w14:textId="65FC03BC" w:rsidR="008337F5" w:rsidRPr="00DD5051" w:rsidRDefault="008337F5" w:rsidP="008337F5">
            <w:r>
              <w:t>Edward M.</w:t>
            </w:r>
            <w:r w:rsidRPr="00DD5051">
              <w:t xml:space="preserve"> </w:t>
            </w:r>
            <w:r>
              <w:t>Armstrong</w:t>
            </w:r>
            <w:r w:rsidRPr="00DD5051">
              <w:t xml:space="preserve"> (</w:t>
            </w:r>
            <w:r w:rsidRPr="00C070A0">
              <w:t>Edward.M.Armstrong@jpl.nasa.gov</w:t>
            </w:r>
            <w:r w:rsidRPr="00DD5051">
              <w:t>)</w:t>
            </w:r>
          </w:p>
        </w:tc>
      </w:tr>
      <w:tr w:rsidR="008337F5" w:rsidRPr="00F6097F" w14:paraId="61C7A602" w14:textId="77777777" w:rsidTr="00964189">
        <w:trPr>
          <w:trHeight w:val="309"/>
        </w:trPr>
        <w:tc>
          <w:tcPr>
            <w:tcW w:w="1701" w:type="dxa"/>
          </w:tcPr>
          <w:p w14:paraId="0E5BADF5" w14:textId="652AA774" w:rsidR="008337F5" w:rsidRPr="00D87639" w:rsidRDefault="008337F5" w:rsidP="008337F5">
            <w:r w:rsidRPr="00130819">
              <w:t>NOAA</w:t>
            </w:r>
          </w:p>
        </w:tc>
        <w:tc>
          <w:tcPr>
            <w:tcW w:w="8263" w:type="dxa"/>
          </w:tcPr>
          <w:p w14:paraId="214B534E" w14:textId="1E8714DF" w:rsidR="008337F5" w:rsidRPr="00D87639" w:rsidRDefault="008337F5" w:rsidP="008337F5">
            <w:r w:rsidRPr="00DD5051">
              <w:t>Ken</w:t>
            </w:r>
            <w:r>
              <w:t>neth S.</w:t>
            </w:r>
            <w:r w:rsidRPr="00DD5051">
              <w:t xml:space="preserve"> Casey (</w:t>
            </w:r>
            <w:hyperlink r:id="rId7" w:history="1">
              <w:r w:rsidRPr="00C070A0">
                <w:rPr>
                  <w:rStyle w:val="a6"/>
                  <w:color w:val="auto"/>
                  <w:u w:val="none"/>
                </w:rPr>
                <w:t>Kenneth.Casey@noaa.gov</w:t>
              </w:r>
            </w:hyperlink>
            <w:r w:rsidRPr="00DD5051">
              <w:t>)</w:t>
            </w:r>
          </w:p>
        </w:tc>
      </w:tr>
      <w:tr w:rsidR="008337F5" w:rsidRPr="00F6097F" w14:paraId="603FD322" w14:textId="77777777" w:rsidTr="00964189">
        <w:trPr>
          <w:trHeight w:val="387"/>
        </w:trPr>
        <w:tc>
          <w:tcPr>
            <w:tcW w:w="1701" w:type="dxa"/>
          </w:tcPr>
          <w:p w14:paraId="08ABD46B" w14:textId="31A036A1" w:rsidR="008337F5" w:rsidRPr="00130819" w:rsidRDefault="008337F5" w:rsidP="008337F5">
            <w:r w:rsidRPr="00130819">
              <w:t>ESA</w:t>
            </w:r>
          </w:p>
        </w:tc>
        <w:tc>
          <w:tcPr>
            <w:tcW w:w="8263" w:type="dxa"/>
          </w:tcPr>
          <w:p w14:paraId="07D061AD" w14:textId="27CC1D4D" w:rsidR="008337F5" w:rsidRPr="00130819" w:rsidRDefault="008337F5" w:rsidP="008337F5">
            <w:r>
              <w:t>Paolo Cipollini (Paolo.Cipollini@esa.int)</w:t>
            </w:r>
          </w:p>
        </w:tc>
      </w:tr>
      <w:tr w:rsidR="008337F5" w:rsidRPr="00F6097F" w14:paraId="7A2B2B43" w14:textId="77777777" w:rsidTr="00964189">
        <w:tc>
          <w:tcPr>
            <w:tcW w:w="1701" w:type="dxa"/>
          </w:tcPr>
          <w:p w14:paraId="4338904A" w14:textId="4589FDA7" w:rsidR="008337F5" w:rsidRPr="00D87639" w:rsidRDefault="008337F5" w:rsidP="008337F5">
            <w:r w:rsidRPr="00130819">
              <w:t>ISRO</w:t>
            </w:r>
          </w:p>
        </w:tc>
        <w:tc>
          <w:tcPr>
            <w:tcW w:w="8263" w:type="dxa"/>
          </w:tcPr>
          <w:p w14:paraId="6C04407F" w14:textId="1E91D43A" w:rsidR="008337F5" w:rsidRPr="00D87639" w:rsidRDefault="008337F5" w:rsidP="008337F5">
            <w:r>
              <w:t>Pradeep Thapliyal (</w:t>
            </w:r>
            <w:r w:rsidRPr="00171862">
              <w:t>pkthapliyal@sac.isro.gov.in</w:t>
            </w:r>
            <w:r>
              <w:t>)</w:t>
            </w:r>
          </w:p>
        </w:tc>
      </w:tr>
      <w:tr w:rsidR="008337F5" w:rsidRPr="00F6097F" w14:paraId="2BDE5864" w14:textId="77777777" w:rsidTr="00964189">
        <w:tc>
          <w:tcPr>
            <w:tcW w:w="1701" w:type="dxa"/>
          </w:tcPr>
          <w:p w14:paraId="6527B587" w14:textId="77777777" w:rsidR="008337F5" w:rsidRPr="00D87639" w:rsidRDefault="008337F5" w:rsidP="008337F5">
            <w:r w:rsidRPr="00130819">
              <w:t>EUMETSAT</w:t>
            </w:r>
          </w:p>
        </w:tc>
        <w:tc>
          <w:tcPr>
            <w:tcW w:w="8263" w:type="dxa"/>
          </w:tcPr>
          <w:p w14:paraId="3F6BF68D" w14:textId="60174B3A" w:rsidR="008337F5" w:rsidRPr="00D87639" w:rsidRDefault="008337F5" w:rsidP="008337F5">
            <w:r>
              <w:t>Anne O’ Carroll (</w:t>
            </w:r>
            <w:hyperlink r:id="rId8" w:history="1">
              <w:r w:rsidRPr="00130819">
                <w:rPr>
                  <w:rStyle w:val="a6"/>
                  <w:color w:val="auto"/>
                  <w:u w:val="none"/>
                </w:rPr>
                <w:t>Anne.Ocarroll@eumetsat.int</w:t>
              </w:r>
            </w:hyperlink>
            <w:r>
              <w:t>) – GHRSST Science Team Chair</w:t>
            </w:r>
          </w:p>
        </w:tc>
      </w:tr>
      <w:tr w:rsidR="008337F5" w:rsidRPr="00F6097F" w14:paraId="719AA716" w14:textId="77777777" w:rsidTr="00964189">
        <w:tc>
          <w:tcPr>
            <w:tcW w:w="1701" w:type="dxa"/>
          </w:tcPr>
          <w:p w14:paraId="0BF1ADA7" w14:textId="72691898" w:rsidR="008337F5" w:rsidRPr="00D87639" w:rsidRDefault="008337F5" w:rsidP="008337F5">
            <w:r w:rsidRPr="00130819">
              <w:t>KMA</w:t>
            </w:r>
          </w:p>
        </w:tc>
        <w:tc>
          <w:tcPr>
            <w:tcW w:w="8263" w:type="dxa"/>
          </w:tcPr>
          <w:p w14:paraId="519F916B" w14:textId="19A2E6D4" w:rsidR="008337F5" w:rsidRPr="0065490E" w:rsidRDefault="008337F5" w:rsidP="008337F5">
            <w:r>
              <w:t>Lim Han-Cheol (</w:t>
            </w:r>
            <w:hyperlink r:id="rId9" w:history="1">
              <w:r w:rsidRPr="00130819">
                <w:rPr>
                  <w:rStyle w:val="a6"/>
                  <w:color w:val="auto"/>
                  <w:u w:val="none"/>
                </w:rPr>
                <w:t>hclim09@korea.kr</w:t>
              </w:r>
            </w:hyperlink>
            <w:r>
              <w:t>)</w:t>
            </w:r>
          </w:p>
        </w:tc>
      </w:tr>
      <w:tr w:rsidR="008337F5" w:rsidRPr="00F6097F" w14:paraId="4E81B929" w14:textId="77777777" w:rsidTr="00964189">
        <w:tc>
          <w:tcPr>
            <w:tcW w:w="1701" w:type="dxa"/>
          </w:tcPr>
          <w:p w14:paraId="5508E270" w14:textId="66CFD57B" w:rsidR="008337F5" w:rsidRPr="00D87639" w:rsidRDefault="008337F5" w:rsidP="008337F5">
            <w:r w:rsidRPr="00130819">
              <w:t>BoM</w:t>
            </w:r>
          </w:p>
        </w:tc>
        <w:tc>
          <w:tcPr>
            <w:tcW w:w="8263" w:type="dxa"/>
          </w:tcPr>
          <w:p w14:paraId="50E3CECF" w14:textId="4BAB97F4" w:rsidR="008337F5" w:rsidRPr="00D87639" w:rsidRDefault="008337F5" w:rsidP="008337F5">
            <w:r>
              <w:rPr>
                <w:rFonts w:hint="eastAsia"/>
              </w:rPr>
              <w:t xml:space="preserve">Pallavi </w:t>
            </w:r>
            <w:proofErr w:type="spellStart"/>
            <w:r>
              <w:rPr>
                <w:rFonts w:hint="eastAsia"/>
              </w:rPr>
              <w:t>Govekar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(</w:t>
            </w:r>
            <w:r w:rsidRPr="00C730AC">
              <w:t>pallavi.govekar@bom.gov.au</w:t>
            </w:r>
            <w:r>
              <w:t>)</w:t>
            </w:r>
          </w:p>
        </w:tc>
      </w:tr>
      <w:tr w:rsidR="008337F5" w:rsidRPr="00F6097F" w14:paraId="313D1ECB" w14:textId="77777777" w:rsidTr="00964189">
        <w:tc>
          <w:tcPr>
            <w:tcW w:w="1701" w:type="dxa"/>
          </w:tcPr>
          <w:p w14:paraId="6ADE6728" w14:textId="3B3AEE2E" w:rsidR="008337F5" w:rsidRPr="00D87639" w:rsidRDefault="008337F5" w:rsidP="008337F5">
            <w:r>
              <w:t>CMA</w:t>
            </w:r>
          </w:p>
        </w:tc>
        <w:tc>
          <w:tcPr>
            <w:tcW w:w="8263" w:type="dxa"/>
          </w:tcPr>
          <w:p w14:paraId="7128471D" w14:textId="16FEF4B8" w:rsidR="008337F5" w:rsidRPr="00D87639" w:rsidRDefault="008337F5" w:rsidP="008337F5">
            <w:r>
              <w:rPr>
                <w:rFonts w:hint="eastAsia"/>
              </w:rPr>
              <w:t>Miao</w:t>
            </w:r>
            <w:r>
              <w:t xml:space="preserve"> </w:t>
            </w:r>
            <w:r>
              <w:rPr>
                <w:rFonts w:hint="eastAsia"/>
              </w:rPr>
              <w:t>Zhang</w:t>
            </w:r>
            <w:r w:rsidRPr="00D87639">
              <w:t xml:space="preserve"> (</w:t>
            </w:r>
            <w:r w:rsidRPr="00C730AC">
              <w:t>zhangmiao@cma.gov.cn</w:t>
            </w:r>
            <w:r w:rsidRPr="00D87639">
              <w:t>)</w:t>
            </w:r>
          </w:p>
        </w:tc>
      </w:tr>
      <w:tr w:rsidR="008337F5" w:rsidRPr="00F6097F" w14:paraId="2C78C399" w14:textId="77777777" w:rsidTr="00964189">
        <w:tc>
          <w:tcPr>
            <w:tcW w:w="1701" w:type="dxa"/>
          </w:tcPr>
          <w:p w14:paraId="3E4CD7D5" w14:textId="5EF29335" w:rsidR="008337F5" w:rsidRDefault="008337F5" w:rsidP="008337F5">
            <w:r>
              <w:rPr>
                <w:rFonts w:hint="eastAsia"/>
              </w:rPr>
              <w:t>INPE</w:t>
            </w:r>
          </w:p>
        </w:tc>
        <w:tc>
          <w:tcPr>
            <w:tcW w:w="8263" w:type="dxa"/>
          </w:tcPr>
          <w:p w14:paraId="2500D85A" w14:textId="1B06389D" w:rsidR="008337F5" w:rsidRDefault="008337F5" w:rsidP="008337F5">
            <w:r w:rsidRPr="00C730AC">
              <w:t xml:space="preserve">Natália de Moraes </w:t>
            </w:r>
            <w:proofErr w:type="spellStart"/>
            <w:r w:rsidRPr="00C730AC">
              <w:t>Rudorff</w:t>
            </w:r>
            <w:proofErr w:type="spellEnd"/>
            <w:r>
              <w:rPr>
                <w:rFonts w:hint="eastAsia"/>
              </w:rPr>
              <w:t xml:space="preserve"> (</w:t>
            </w:r>
            <w:r w:rsidRPr="00C730AC">
              <w:t>natalia.rudorff@inpe.br</w:t>
            </w:r>
            <w:r>
              <w:rPr>
                <w:rFonts w:hint="eastAsia"/>
              </w:rPr>
              <w:t>)</w:t>
            </w:r>
          </w:p>
        </w:tc>
      </w:tr>
      <w:tr w:rsidR="008337F5" w:rsidRPr="00F6097F" w14:paraId="354F6E94" w14:textId="77777777" w:rsidTr="00964189">
        <w:tc>
          <w:tcPr>
            <w:tcW w:w="1701" w:type="dxa"/>
          </w:tcPr>
          <w:p w14:paraId="7F7DAD97" w14:textId="58B6A923" w:rsidR="008337F5" w:rsidRDefault="008337F5" w:rsidP="008337F5">
            <w:r>
              <w:rPr>
                <w:rFonts w:hint="eastAsia"/>
              </w:rPr>
              <w:t>CONAE</w:t>
            </w:r>
          </w:p>
        </w:tc>
        <w:tc>
          <w:tcPr>
            <w:tcW w:w="8263" w:type="dxa"/>
          </w:tcPr>
          <w:p w14:paraId="13797378" w14:textId="72839634" w:rsidR="008337F5" w:rsidRDefault="008337F5" w:rsidP="008337F5">
            <w:r w:rsidRPr="00C730AC">
              <w:t>Facundo Eduard Godoy</w:t>
            </w:r>
            <w:r>
              <w:rPr>
                <w:rFonts w:hint="eastAsia"/>
              </w:rPr>
              <w:t xml:space="preserve"> (</w:t>
            </w:r>
            <w:r w:rsidRPr="00C730AC">
              <w:t>fgodoy@conae.gov.ar</w:t>
            </w:r>
            <w:r>
              <w:rPr>
                <w:rFonts w:hint="eastAsia"/>
              </w:rPr>
              <w:t>)</w:t>
            </w:r>
          </w:p>
        </w:tc>
      </w:tr>
      <w:tr w:rsidR="008337F5" w:rsidRPr="00F6097F" w14:paraId="75AB52CC" w14:textId="77777777" w:rsidTr="00964189">
        <w:tc>
          <w:tcPr>
            <w:tcW w:w="1701" w:type="dxa"/>
          </w:tcPr>
          <w:p w14:paraId="10D323F2" w14:textId="3BB93EA2" w:rsidR="008337F5" w:rsidRPr="00D87639" w:rsidRDefault="008337F5" w:rsidP="008337F5">
            <w:r>
              <w:t>GHRSST PO</w:t>
            </w:r>
          </w:p>
        </w:tc>
        <w:tc>
          <w:tcPr>
            <w:tcW w:w="8263" w:type="dxa"/>
          </w:tcPr>
          <w:p w14:paraId="0F16B85C" w14:textId="68A9352C" w:rsidR="008337F5" w:rsidRPr="008337F5" w:rsidRDefault="008337F5" w:rsidP="008337F5">
            <w:r w:rsidRPr="00C730AC">
              <w:t>Erika Hayashi</w:t>
            </w:r>
            <w:r>
              <w:rPr>
                <w:rFonts w:hint="eastAsia"/>
              </w:rPr>
              <w:t xml:space="preserve"> (</w:t>
            </w:r>
            <w:r w:rsidRPr="00215E84">
              <w:t>ERH@dmi.dk</w:t>
            </w:r>
            <w:r>
              <w:rPr>
                <w:rFonts w:hint="eastAsia"/>
              </w:rPr>
              <w:t>)</w:t>
            </w:r>
          </w:p>
        </w:tc>
      </w:tr>
    </w:tbl>
    <w:p w14:paraId="6BB195F1" w14:textId="77777777" w:rsidR="00E377AF" w:rsidRPr="00DD5051" w:rsidRDefault="00E377AF" w:rsidP="00E377AF"/>
    <w:p w14:paraId="7CEE6EAB" w14:textId="77777777" w:rsidR="0010508C" w:rsidRPr="00F84643" w:rsidRDefault="000A3A31" w:rsidP="0065490E">
      <w:r w:rsidRPr="00F84643">
        <w:t>Resources</w:t>
      </w:r>
    </w:p>
    <w:p w14:paraId="62188E28" w14:textId="37E7CC94" w:rsidR="00F67614" w:rsidRDefault="00F67614" w:rsidP="0065490E">
      <w:r>
        <w:t>T</w:t>
      </w:r>
      <w:r w:rsidR="00685A76">
        <w:t>he SST-VC leverages existing contributions by participants in GHRSST</w:t>
      </w:r>
      <w:r w:rsidR="003926C2">
        <w:t xml:space="preserve"> and</w:t>
      </w:r>
      <w:r w:rsidR="00685A76">
        <w:t xml:space="preserve"> on a volunteerism basis with </w:t>
      </w:r>
      <w:r w:rsidR="00E7687D">
        <w:t xml:space="preserve">additional </w:t>
      </w:r>
      <w:r w:rsidR="00685A76">
        <w:t>resources provided by member Agencies</w:t>
      </w:r>
      <w:r w:rsidR="00D87639">
        <w:t xml:space="preserve"> (e.g. ESA Climate Change Initiative, Support to the GHRSST Project Office, NASA </w:t>
      </w:r>
      <w:proofErr w:type="gramStart"/>
      <w:r w:rsidR="00D87639">
        <w:t>PO.DAAC</w:t>
      </w:r>
      <w:proofErr w:type="gramEnd"/>
      <w:r w:rsidR="00D87639">
        <w:t>, NOAA NODC data stewardship)</w:t>
      </w:r>
    </w:p>
    <w:p w14:paraId="63126E12" w14:textId="77777777" w:rsidR="003F4356" w:rsidRDefault="003F4356" w:rsidP="0065490E"/>
    <w:p w14:paraId="551584B3" w14:textId="77777777" w:rsidR="001A66B1" w:rsidRPr="001A66B1" w:rsidRDefault="001A66B1" w:rsidP="0065490E"/>
    <w:sectPr w:rsidR="001A66B1" w:rsidRPr="001A66B1" w:rsidSect="00126260">
      <w:pgSz w:w="12240" w:h="15840" w:code="1"/>
      <w:pgMar w:top="1138" w:right="1138" w:bottom="1138" w:left="1138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075D"/>
    <w:multiLevelType w:val="multilevel"/>
    <w:tmpl w:val="D61ED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60A6"/>
    <w:multiLevelType w:val="multilevel"/>
    <w:tmpl w:val="AFC22F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A70FE"/>
    <w:multiLevelType w:val="hybridMultilevel"/>
    <w:tmpl w:val="071AE70A"/>
    <w:lvl w:ilvl="0" w:tplc="75B62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040B"/>
    <w:multiLevelType w:val="hybridMultilevel"/>
    <w:tmpl w:val="9A52B60E"/>
    <w:lvl w:ilvl="0" w:tplc="5A72610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93237"/>
    <w:multiLevelType w:val="multilevel"/>
    <w:tmpl w:val="A04AD84C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9A02C1C"/>
    <w:multiLevelType w:val="hybridMultilevel"/>
    <w:tmpl w:val="C9FC3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818C3"/>
    <w:multiLevelType w:val="multilevel"/>
    <w:tmpl w:val="A04AD84C"/>
    <w:lvl w:ilvl="0">
      <w:start w:val="1"/>
      <w:numFmt w:val="decimal"/>
      <w:pStyle w:val="1"/>
      <w:lvlText w:val="%1."/>
      <w:lvlJc w:val="left"/>
      <w:pPr>
        <w:tabs>
          <w:tab w:val="num" w:pos="2417"/>
        </w:tabs>
        <w:ind w:left="2417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2CC67B5"/>
    <w:multiLevelType w:val="hybridMultilevel"/>
    <w:tmpl w:val="CA50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F2D4C"/>
    <w:multiLevelType w:val="hybridMultilevel"/>
    <w:tmpl w:val="2D64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5586"/>
    <w:multiLevelType w:val="hybridMultilevel"/>
    <w:tmpl w:val="65420638"/>
    <w:lvl w:ilvl="0" w:tplc="75B62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7415"/>
    <w:multiLevelType w:val="hybridMultilevel"/>
    <w:tmpl w:val="22E62F66"/>
    <w:lvl w:ilvl="0" w:tplc="E586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8F3BE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AC7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6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47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4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AE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6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C1E5170"/>
    <w:multiLevelType w:val="hybridMultilevel"/>
    <w:tmpl w:val="198C8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14957"/>
    <w:multiLevelType w:val="hybridMultilevel"/>
    <w:tmpl w:val="AFC22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C72286"/>
    <w:multiLevelType w:val="multilevel"/>
    <w:tmpl w:val="A04AD84C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2364F18"/>
    <w:multiLevelType w:val="hybridMultilevel"/>
    <w:tmpl w:val="82EC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355C2"/>
    <w:multiLevelType w:val="hybridMultilevel"/>
    <w:tmpl w:val="89E230C6"/>
    <w:lvl w:ilvl="0" w:tplc="698A57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C47D31"/>
    <w:multiLevelType w:val="hybridMultilevel"/>
    <w:tmpl w:val="0BC86CAC"/>
    <w:lvl w:ilvl="0" w:tplc="04090013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F7F7883"/>
    <w:multiLevelType w:val="hybridMultilevel"/>
    <w:tmpl w:val="0DFCC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8063052">
    <w:abstractNumId w:val="6"/>
  </w:num>
  <w:num w:numId="2" w16cid:durableId="1890024763">
    <w:abstractNumId w:val="7"/>
  </w:num>
  <w:num w:numId="3" w16cid:durableId="1912037477">
    <w:abstractNumId w:val="12"/>
  </w:num>
  <w:num w:numId="4" w16cid:durableId="1963220734">
    <w:abstractNumId w:val="16"/>
  </w:num>
  <w:num w:numId="5" w16cid:durableId="664013242">
    <w:abstractNumId w:val="14"/>
  </w:num>
  <w:num w:numId="6" w16cid:durableId="905186911">
    <w:abstractNumId w:val="13"/>
  </w:num>
  <w:num w:numId="7" w16cid:durableId="1785535754">
    <w:abstractNumId w:val="4"/>
  </w:num>
  <w:num w:numId="8" w16cid:durableId="2119832888">
    <w:abstractNumId w:val="2"/>
  </w:num>
  <w:num w:numId="9" w16cid:durableId="1717852527">
    <w:abstractNumId w:val="3"/>
  </w:num>
  <w:num w:numId="10" w16cid:durableId="244725353">
    <w:abstractNumId w:val="9"/>
  </w:num>
  <w:num w:numId="11" w16cid:durableId="1395664301">
    <w:abstractNumId w:val="0"/>
  </w:num>
  <w:num w:numId="12" w16cid:durableId="817265893">
    <w:abstractNumId w:val="5"/>
  </w:num>
  <w:num w:numId="13" w16cid:durableId="241793329">
    <w:abstractNumId w:val="8"/>
  </w:num>
  <w:num w:numId="14" w16cid:durableId="1411006049">
    <w:abstractNumId w:val="11"/>
  </w:num>
  <w:num w:numId="15" w16cid:durableId="840269293">
    <w:abstractNumId w:val="10"/>
  </w:num>
  <w:num w:numId="16" w16cid:durableId="2139444918">
    <w:abstractNumId w:val="1"/>
  </w:num>
  <w:num w:numId="17" w16cid:durableId="702944550">
    <w:abstractNumId w:val="15"/>
  </w:num>
  <w:num w:numId="18" w16cid:durableId="16707899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1"/>
    <w:rsid w:val="00005BAE"/>
    <w:rsid w:val="0001329D"/>
    <w:rsid w:val="00057B65"/>
    <w:rsid w:val="000620BA"/>
    <w:rsid w:val="000823FB"/>
    <w:rsid w:val="000A3A31"/>
    <w:rsid w:val="000B463C"/>
    <w:rsid w:val="000D0E55"/>
    <w:rsid w:val="000D1D2E"/>
    <w:rsid w:val="0010508C"/>
    <w:rsid w:val="00105BE6"/>
    <w:rsid w:val="00126260"/>
    <w:rsid w:val="00130819"/>
    <w:rsid w:val="00134943"/>
    <w:rsid w:val="0013799A"/>
    <w:rsid w:val="00150500"/>
    <w:rsid w:val="0015353D"/>
    <w:rsid w:val="00170970"/>
    <w:rsid w:val="00171862"/>
    <w:rsid w:val="00185DE9"/>
    <w:rsid w:val="001A3F71"/>
    <w:rsid w:val="001A66B1"/>
    <w:rsid w:val="0024298D"/>
    <w:rsid w:val="00245CA8"/>
    <w:rsid w:val="002561CD"/>
    <w:rsid w:val="00271840"/>
    <w:rsid w:val="002B34B9"/>
    <w:rsid w:val="002B6595"/>
    <w:rsid w:val="00330ECB"/>
    <w:rsid w:val="003605EB"/>
    <w:rsid w:val="00370FB3"/>
    <w:rsid w:val="003926C2"/>
    <w:rsid w:val="00396A90"/>
    <w:rsid w:val="003E45B2"/>
    <w:rsid w:val="003E7CEC"/>
    <w:rsid w:val="003F4356"/>
    <w:rsid w:val="00415429"/>
    <w:rsid w:val="00434865"/>
    <w:rsid w:val="00456545"/>
    <w:rsid w:val="004851B0"/>
    <w:rsid w:val="00487D06"/>
    <w:rsid w:val="00490A7E"/>
    <w:rsid w:val="00492182"/>
    <w:rsid w:val="004D62D6"/>
    <w:rsid w:val="004E5FA8"/>
    <w:rsid w:val="004E7CBB"/>
    <w:rsid w:val="0051465A"/>
    <w:rsid w:val="00536651"/>
    <w:rsid w:val="00542F6E"/>
    <w:rsid w:val="005464C3"/>
    <w:rsid w:val="00553CE6"/>
    <w:rsid w:val="005745F1"/>
    <w:rsid w:val="005B56FD"/>
    <w:rsid w:val="005B6B71"/>
    <w:rsid w:val="005C323C"/>
    <w:rsid w:val="005F5B68"/>
    <w:rsid w:val="0062202D"/>
    <w:rsid w:val="00633897"/>
    <w:rsid w:val="00645ED7"/>
    <w:rsid w:val="0065490E"/>
    <w:rsid w:val="00681B11"/>
    <w:rsid w:val="00685A76"/>
    <w:rsid w:val="006B64D3"/>
    <w:rsid w:val="006E0416"/>
    <w:rsid w:val="006E434C"/>
    <w:rsid w:val="00710CF7"/>
    <w:rsid w:val="007123AD"/>
    <w:rsid w:val="00713227"/>
    <w:rsid w:val="00721D65"/>
    <w:rsid w:val="00746093"/>
    <w:rsid w:val="0074765A"/>
    <w:rsid w:val="00771D4C"/>
    <w:rsid w:val="007D1102"/>
    <w:rsid w:val="008337F5"/>
    <w:rsid w:val="00845573"/>
    <w:rsid w:val="00864DB0"/>
    <w:rsid w:val="008829B6"/>
    <w:rsid w:val="00891D8E"/>
    <w:rsid w:val="008B0C73"/>
    <w:rsid w:val="008B4F11"/>
    <w:rsid w:val="008D55DE"/>
    <w:rsid w:val="008F0BFB"/>
    <w:rsid w:val="00915CE6"/>
    <w:rsid w:val="0094039A"/>
    <w:rsid w:val="0095418E"/>
    <w:rsid w:val="00964189"/>
    <w:rsid w:val="00965897"/>
    <w:rsid w:val="00A1433D"/>
    <w:rsid w:val="00A1796D"/>
    <w:rsid w:val="00A9082E"/>
    <w:rsid w:val="00B01734"/>
    <w:rsid w:val="00B17E4F"/>
    <w:rsid w:val="00B319FF"/>
    <w:rsid w:val="00B70B4E"/>
    <w:rsid w:val="00C070A0"/>
    <w:rsid w:val="00C205CB"/>
    <w:rsid w:val="00C4461E"/>
    <w:rsid w:val="00C80201"/>
    <w:rsid w:val="00D049AA"/>
    <w:rsid w:val="00D06E15"/>
    <w:rsid w:val="00D42A67"/>
    <w:rsid w:val="00D7382A"/>
    <w:rsid w:val="00D87639"/>
    <w:rsid w:val="00D92D50"/>
    <w:rsid w:val="00D95BF4"/>
    <w:rsid w:val="00DA18AD"/>
    <w:rsid w:val="00DA6A6C"/>
    <w:rsid w:val="00DD5051"/>
    <w:rsid w:val="00DD55AD"/>
    <w:rsid w:val="00E24B5A"/>
    <w:rsid w:val="00E259B3"/>
    <w:rsid w:val="00E34473"/>
    <w:rsid w:val="00E377AF"/>
    <w:rsid w:val="00E6302B"/>
    <w:rsid w:val="00E7687D"/>
    <w:rsid w:val="00EA4957"/>
    <w:rsid w:val="00EA6BFD"/>
    <w:rsid w:val="00EC3235"/>
    <w:rsid w:val="00EE14EC"/>
    <w:rsid w:val="00EE3384"/>
    <w:rsid w:val="00F042C7"/>
    <w:rsid w:val="00F1579F"/>
    <w:rsid w:val="00F26B93"/>
    <w:rsid w:val="00F408E4"/>
    <w:rsid w:val="00F6097F"/>
    <w:rsid w:val="00F60E33"/>
    <w:rsid w:val="00F67614"/>
    <w:rsid w:val="00F84643"/>
    <w:rsid w:val="00F9167D"/>
    <w:rsid w:val="00FA712A"/>
    <w:rsid w:val="00FC5740"/>
    <w:rsid w:val="00FC7F1D"/>
    <w:rsid w:val="00FD789F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F5AA6"/>
  <w14:defaultImageDpi w14:val="330"/>
  <w15:docId w15:val="{E6421F12-1902-448A-91C1-2DBAB9F6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5490E"/>
    <w:pPr>
      <w:widowControl w:val="0"/>
      <w:tabs>
        <w:tab w:val="left" w:pos="220"/>
        <w:tab w:val="left" w:pos="284"/>
      </w:tabs>
      <w:spacing w:after="120"/>
    </w:pPr>
    <w:rPr>
      <w:rFonts w:ascii="Times New Roman" w:eastAsia="ＭＳ 明朝" w:hAnsi="Times New Roman" w:cs="Times New Roman"/>
      <w:lang w:val="en-AU" w:eastAsia="ja-JP"/>
    </w:rPr>
  </w:style>
  <w:style w:type="paragraph" w:styleId="1">
    <w:name w:val="heading 1"/>
    <w:basedOn w:val="a"/>
    <w:next w:val="a"/>
    <w:link w:val="10"/>
    <w:qFormat/>
    <w:rsid w:val="00126260"/>
    <w:pPr>
      <w:keepNext/>
      <w:widowControl/>
      <w:numPr>
        <w:numId w:val="1"/>
      </w:numPr>
      <w:tabs>
        <w:tab w:val="clear" w:pos="220"/>
        <w:tab w:val="clear" w:pos="284"/>
      </w:tabs>
      <w:spacing w:before="240"/>
      <w:ind w:right="562"/>
      <w:outlineLvl w:val="0"/>
    </w:pPr>
    <w:rPr>
      <w:rFonts w:ascii="Georgia" w:hAnsi="Georgia"/>
      <w:b/>
      <w:bCs/>
      <w:smallCaps/>
      <w:sz w:val="32"/>
      <w:szCs w:val="28"/>
      <w:lang w:val="en-GB"/>
    </w:rPr>
  </w:style>
  <w:style w:type="paragraph" w:styleId="2">
    <w:name w:val="heading 2"/>
    <w:basedOn w:val="a"/>
    <w:next w:val="a"/>
    <w:link w:val="20"/>
    <w:qFormat/>
    <w:rsid w:val="00126260"/>
    <w:pPr>
      <w:keepNext/>
      <w:widowControl/>
      <w:numPr>
        <w:ilvl w:val="1"/>
        <w:numId w:val="1"/>
      </w:numPr>
      <w:tabs>
        <w:tab w:val="clear" w:pos="220"/>
        <w:tab w:val="clear" w:pos="284"/>
      </w:tabs>
      <w:spacing w:before="240"/>
      <w:ind w:right="142"/>
      <w:outlineLvl w:val="1"/>
    </w:pPr>
    <w:rPr>
      <w:rFonts w:ascii="Georgia" w:hAnsi="Georgia"/>
      <w:b/>
      <w:bCs/>
      <w:caps/>
      <w:lang w:val="en-GB"/>
    </w:rPr>
  </w:style>
  <w:style w:type="paragraph" w:styleId="3">
    <w:name w:val="heading 3"/>
    <w:basedOn w:val="a"/>
    <w:next w:val="a"/>
    <w:link w:val="30"/>
    <w:qFormat/>
    <w:rsid w:val="00126260"/>
    <w:pPr>
      <w:keepNext/>
      <w:widowControl/>
      <w:numPr>
        <w:ilvl w:val="2"/>
        <w:numId w:val="1"/>
      </w:numPr>
      <w:tabs>
        <w:tab w:val="clear" w:pos="220"/>
        <w:tab w:val="clear" w:pos="284"/>
      </w:tabs>
      <w:spacing w:before="240"/>
      <w:ind w:right="567"/>
      <w:outlineLvl w:val="2"/>
    </w:pPr>
    <w:rPr>
      <w:rFonts w:ascii="Georgia" w:hAnsi="Georgia"/>
      <w:b/>
      <w:bCs/>
      <w:caps/>
      <w:color w:val="FF00FF"/>
      <w:sz w:val="22"/>
      <w:szCs w:val="22"/>
      <w:lang w:val="en-GB"/>
    </w:rPr>
  </w:style>
  <w:style w:type="paragraph" w:styleId="4">
    <w:name w:val="heading 4"/>
    <w:basedOn w:val="a"/>
    <w:next w:val="a"/>
    <w:link w:val="40"/>
    <w:qFormat/>
    <w:rsid w:val="00126260"/>
    <w:pPr>
      <w:keepNext/>
      <w:widowControl/>
      <w:numPr>
        <w:ilvl w:val="3"/>
        <w:numId w:val="1"/>
      </w:numPr>
      <w:tabs>
        <w:tab w:val="clear" w:pos="220"/>
        <w:tab w:val="clear" w:pos="284"/>
      </w:tabs>
      <w:spacing w:before="240"/>
      <w:ind w:right="567"/>
      <w:outlineLvl w:val="3"/>
    </w:pPr>
    <w:rPr>
      <w:rFonts w:ascii="Georgia" w:hAnsi="Georgia"/>
      <w:b/>
      <w:bCs/>
      <w:i/>
      <w:iCs/>
      <w:caps/>
      <w:color w:val="800080"/>
      <w:sz w:val="22"/>
      <w:szCs w:val="22"/>
      <w:lang w:val="en-GB"/>
    </w:rPr>
  </w:style>
  <w:style w:type="paragraph" w:styleId="5">
    <w:name w:val="heading 5"/>
    <w:basedOn w:val="a"/>
    <w:next w:val="a"/>
    <w:link w:val="50"/>
    <w:qFormat/>
    <w:rsid w:val="00126260"/>
    <w:pPr>
      <w:keepNext/>
      <w:widowControl/>
      <w:numPr>
        <w:ilvl w:val="4"/>
        <w:numId w:val="1"/>
      </w:numPr>
      <w:tabs>
        <w:tab w:val="clear" w:pos="220"/>
        <w:tab w:val="clear" w:pos="284"/>
      </w:tabs>
      <w:spacing w:before="240"/>
      <w:ind w:right="567"/>
      <w:outlineLvl w:val="4"/>
    </w:pPr>
    <w:rPr>
      <w:rFonts w:ascii="Georgia" w:hAnsi="Georgia"/>
      <w:b/>
      <w:bCs/>
      <w:color w:val="80008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6260"/>
    <w:rPr>
      <w:rFonts w:ascii="Georgia" w:eastAsia="ＭＳ 明朝" w:hAnsi="Georgia" w:cs="Times New Roman"/>
      <w:b/>
      <w:bCs/>
      <w:smallCaps/>
      <w:sz w:val="32"/>
      <w:szCs w:val="28"/>
      <w:lang w:val="en-GB" w:eastAsia="ja-JP"/>
    </w:rPr>
  </w:style>
  <w:style w:type="character" w:customStyle="1" w:styleId="20">
    <w:name w:val="見出し 2 (文字)"/>
    <w:basedOn w:val="a0"/>
    <w:link w:val="2"/>
    <w:rsid w:val="00126260"/>
    <w:rPr>
      <w:rFonts w:ascii="Georgia" w:eastAsia="ＭＳ 明朝" w:hAnsi="Georgia" w:cs="Times New Roman"/>
      <w:b/>
      <w:bCs/>
      <w:caps/>
      <w:lang w:val="en-GB" w:eastAsia="ja-JP"/>
    </w:rPr>
  </w:style>
  <w:style w:type="character" w:customStyle="1" w:styleId="30">
    <w:name w:val="見出し 3 (文字)"/>
    <w:basedOn w:val="a0"/>
    <w:link w:val="3"/>
    <w:rsid w:val="00126260"/>
    <w:rPr>
      <w:rFonts w:ascii="Georgia" w:eastAsia="ＭＳ 明朝" w:hAnsi="Georgia" w:cs="Times New Roman"/>
      <w:b/>
      <w:bCs/>
      <w:caps/>
      <w:color w:val="FF00FF"/>
      <w:sz w:val="22"/>
      <w:szCs w:val="22"/>
      <w:lang w:val="en-GB" w:eastAsia="ja-JP"/>
    </w:rPr>
  </w:style>
  <w:style w:type="character" w:customStyle="1" w:styleId="40">
    <w:name w:val="見出し 4 (文字)"/>
    <w:basedOn w:val="a0"/>
    <w:link w:val="4"/>
    <w:rsid w:val="00126260"/>
    <w:rPr>
      <w:rFonts w:ascii="Georgia" w:eastAsia="ＭＳ 明朝" w:hAnsi="Georgia" w:cs="Times New Roman"/>
      <w:b/>
      <w:bCs/>
      <w:i/>
      <w:iCs/>
      <w:caps/>
      <w:color w:val="800080"/>
      <w:sz w:val="22"/>
      <w:szCs w:val="22"/>
      <w:lang w:val="en-GB" w:eastAsia="ja-JP"/>
    </w:rPr>
  </w:style>
  <w:style w:type="character" w:customStyle="1" w:styleId="50">
    <w:name w:val="見出し 5 (文字)"/>
    <w:basedOn w:val="a0"/>
    <w:link w:val="5"/>
    <w:rsid w:val="00126260"/>
    <w:rPr>
      <w:rFonts w:ascii="Georgia" w:eastAsia="ＭＳ 明朝" w:hAnsi="Georgia" w:cs="Times New Roman"/>
      <w:b/>
      <w:bCs/>
      <w:color w:val="800080"/>
      <w:lang w:val="en-GB" w:eastAsia="ja-JP"/>
    </w:rPr>
  </w:style>
  <w:style w:type="paragraph" w:styleId="a3">
    <w:name w:val="List Paragraph"/>
    <w:basedOn w:val="a"/>
    <w:uiPriority w:val="34"/>
    <w:qFormat/>
    <w:rsid w:val="00126260"/>
    <w:pPr>
      <w:widowControl/>
      <w:tabs>
        <w:tab w:val="clear" w:pos="220"/>
        <w:tab w:val="clear" w:pos="284"/>
      </w:tabs>
      <w:spacing w:after="0"/>
      <w:ind w:left="720"/>
      <w:contextualSpacing/>
    </w:pPr>
    <w:rPr>
      <w:rFonts w:ascii="Georgia" w:eastAsia="Times New Roman" w:hAnsi="Georgia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042C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2C7"/>
    <w:rPr>
      <w:rFonts w:ascii="Lucida Grande" w:eastAsia="ＭＳ 明朝" w:hAnsi="Lucida Grande" w:cs="Lucida Grande"/>
      <w:sz w:val="18"/>
      <w:szCs w:val="18"/>
      <w:lang w:eastAsia="ja-JP"/>
    </w:rPr>
  </w:style>
  <w:style w:type="character" w:customStyle="1" w:styleId="apple-converted-space">
    <w:name w:val="apple-converted-space"/>
    <w:basedOn w:val="a0"/>
    <w:rsid w:val="00FC5740"/>
  </w:style>
  <w:style w:type="character" w:styleId="a6">
    <w:name w:val="Hyperlink"/>
    <w:basedOn w:val="a0"/>
    <w:unhideWhenUsed/>
    <w:rsid w:val="00FC5740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319F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319FF"/>
  </w:style>
  <w:style w:type="character" w:customStyle="1" w:styleId="a9">
    <w:name w:val="コメント文字列 (文字)"/>
    <w:basedOn w:val="a0"/>
    <w:link w:val="a8"/>
    <w:uiPriority w:val="99"/>
    <w:rsid w:val="00B319FF"/>
    <w:rPr>
      <w:rFonts w:ascii="Times New Roman" w:eastAsia="ＭＳ 明朝" w:hAnsi="Times New Roman" w:cs="Times New Roman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19FF"/>
    <w:rPr>
      <w:b/>
      <w:bCs/>
      <w:sz w:val="2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B319FF"/>
    <w:rPr>
      <w:rFonts w:ascii="Times New Roman" w:eastAsia="ＭＳ 明朝" w:hAnsi="Times New Roman" w:cs="Times New Roman"/>
      <w:b/>
      <w:bCs/>
      <w:sz w:val="20"/>
      <w:szCs w:val="20"/>
      <w:lang w:eastAsia="ja-JP"/>
    </w:rPr>
  </w:style>
  <w:style w:type="table" w:styleId="ac">
    <w:name w:val="Table Grid"/>
    <w:basedOn w:val="a1"/>
    <w:rsid w:val="00DD50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D505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92D50"/>
    <w:pPr>
      <w:widowControl/>
      <w:tabs>
        <w:tab w:val="clear" w:pos="220"/>
        <w:tab w:val="clear" w:pos="284"/>
      </w:tabs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character" w:styleId="ae">
    <w:name w:val="Unresolved Mention"/>
    <w:basedOn w:val="a0"/>
    <w:uiPriority w:val="99"/>
    <w:semiHidden/>
    <w:unhideWhenUsed/>
    <w:rsid w:val="00E24B5A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E34473"/>
    <w:rPr>
      <w:rFonts w:ascii="Times New Roman" w:eastAsia="ＭＳ 明朝" w:hAnsi="Times New Roman" w:cs="Times New Roman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Ocarroll@eumetsat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neth.Casey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hittle@csir.co.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atabase.eohandbook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clim09@korea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/ ESTEC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Donlon</dc:creator>
  <cp:keywords/>
  <dc:description/>
  <cp:lastModifiedBy>可知　美佐子</cp:lastModifiedBy>
  <cp:revision>2</cp:revision>
  <dcterms:created xsi:type="dcterms:W3CDTF">2024-10-15T04:21:00Z</dcterms:created>
  <dcterms:modified xsi:type="dcterms:W3CDTF">2024-10-15T04:21:00Z</dcterms:modified>
</cp:coreProperties>
</file>