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Joint WGCV and LSI-VC Meeting (April 2026)</w:t>
      </w:r>
    </w:p>
    <w:p w:rsidR="00000000" w:rsidDel="00000000" w:rsidP="00000000" w:rsidRDefault="00000000" w:rsidRPr="00000000" w14:paraId="00000002">
      <w:pPr>
        <w:spacing w:after="200" w:lineRule="auto"/>
        <w:jc w:val="center"/>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Actions v1.0</w:t>
      </w:r>
    </w:p>
    <w:p w:rsidR="00000000" w:rsidDel="00000000" w:rsidP="00000000" w:rsidRDefault="00000000" w:rsidRPr="00000000" w14:paraId="00000003">
      <w:pPr>
        <w:spacing w:after="2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Actions</w:t>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6120"/>
        <w:gridCol w:w="1650"/>
        <w:tblGridChange w:id="0">
          <w:tblGrid>
            <w:gridCol w:w="1590"/>
            <w:gridCol w:w="6120"/>
            <w:gridCol w:w="165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04">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WGCV-LSI-01</w:t>
            </w: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WGCV Secretariat to connect Pawarin (GISTDA) and Rob Rosenberg (JPL) regarding the availability of historical data to support THEOS-1 atmospheric correction and radiometric calibration from 2008. The availability of Railroad Valley data that preceded RadCalNet (from 2009) was noted.</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06">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p w:rsidR="00000000" w:rsidDel="00000000" w:rsidP="00000000" w:rsidRDefault="00000000" w:rsidRPr="00000000" w14:paraId="00000007">
            <w:pPr>
              <w:widowControl w:val="0"/>
              <w:spacing w:line="240" w:lineRule="auto"/>
              <w:jc w:val="center"/>
              <w:rPr>
                <w:rFonts w:ascii="Calibri" w:cs="Calibri" w:eastAsia="Calibri" w:hAnsi="Calibri"/>
                <w:i w:val="1"/>
                <w:iCs w:val="1"/>
              </w:rPr>
            </w:pPr>
            <w:r w:rsidDel="00000000" w:rsidR="00000000" w:rsidRPr="00000000">
              <w:rPr>
                <w:rFonts w:ascii="Calibri" w:cs="Calibri" w:eastAsia="Calibri" w:hAnsi="Calibri"/>
                <w:i w:val="1"/>
                <w:iCs w:val="1"/>
                <w:sz w:val="18"/>
                <w:szCs w:val="18"/>
                <w:rtl w:val="0"/>
              </w:rPr>
              <w:t xml:space="preserve">Data available via JAXA </w:t>
            </w:r>
            <w:hyperlink r:id="rId6">
              <w:r w:rsidDel="00000000" w:rsidR="00000000" w:rsidRPr="00000000">
                <w:rPr>
                  <w:rFonts w:ascii="Calibri" w:cs="Calibri" w:eastAsia="Calibri" w:hAnsi="Calibri"/>
                  <w:i w:val="1"/>
                  <w:iCs w:val="1"/>
                  <w:color w:val="1155cc"/>
                  <w:sz w:val="18"/>
                  <w:szCs w:val="18"/>
                  <w:u w:val="single"/>
                  <w:rtl w:val="0"/>
                </w:rPr>
                <w:t xml:space="preserve">here</w:t>
              </w:r>
            </w:hyperlink>
            <w:r w:rsidDel="00000000" w:rsidR="00000000" w:rsidRPr="00000000">
              <w:rPr>
                <w:rFonts w:ascii="Calibri" w:cs="Calibri" w:eastAsia="Calibri" w:hAnsi="Calibri"/>
                <w:i w:val="1"/>
                <w:iCs w:val="1"/>
                <w:sz w:val="18"/>
                <w:szCs w:val="18"/>
                <w:rtl w:val="0"/>
              </w:rPr>
              <w:t xml:space="preserve"> and </w:t>
            </w:r>
            <w:hyperlink r:id="rId7">
              <w:r w:rsidDel="00000000" w:rsidR="00000000" w:rsidRPr="00000000">
                <w:rPr>
                  <w:rFonts w:ascii="Calibri" w:cs="Calibri" w:eastAsia="Calibri" w:hAnsi="Calibri"/>
                  <w:i w:val="1"/>
                  <w:iCs w:val="1"/>
                  <w:color w:val="1155cc"/>
                  <w:sz w:val="18"/>
                  <w:szCs w:val="18"/>
                  <w:u w:val="single"/>
                  <w:rtl w:val="0"/>
                </w:rPr>
                <w:t xml:space="preserve">here</w:t>
              </w:r>
            </w:hyperlink>
            <w:r w:rsidDel="00000000" w:rsidR="00000000" w:rsidRPr="00000000">
              <w:rPr>
                <w:rFonts w:ascii="Calibri" w:cs="Calibri" w:eastAsia="Calibri" w:hAnsi="Calibri"/>
                <w:i w:val="1"/>
                <w:iCs w:val="1"/>
                <w:sz w:val="18"/>
                <w:szCs w:val="18"/>
                <w:rtl w:val="0"/>
              </w:rPr>
              <w:t xml:space="preserve">.</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08">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WGCV Secretariat to connect Nigel Fox and Pawarin (GISTDA) regarding integration of THEOS data to the CEOS WGCV Product Validation Platform (PVP) and to share information on PICS data that can support historical THEOS-1 data processing.</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0A">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0B">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WGCV-LSI-03</w:t>
            </w:r>
          </w:p>
        </w:tc>
        <w:tc>
          <w:tcP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Libby Rose to add a campaign on the WGCV calibration networks to the CEOS comms schedule and consider opportunities to better represent them on the CEOS website.</w:t>
            </w:r>
          </w:p>
        </w:tc>
        <w:tc>
          <w:tcP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 progress</w:t>
            </w:r>
          </w:p>
          <w:p w:rsidR="00000000" w:rsidDel="00000000" w:rsidP="00000000" w:rsidRDefault="00000000" w:rsidRPr="00000000" w14:paraId="0000000E">
            <w:pPr>
              <w:widowControl w:val="0"/>
              <w:spacing w:line="240" w:lineRule="auto"/>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Storymaps have been created for RadCalNet and SARCalNet, though they are not easily discoverable via </w:t>
            </w:r>
            <w:hyperlink r:id="rId8">
              <w:r w:rsidDel="00000000" w:rsidR="00000000" w:rsidRPr="00000000">
                <w:rPr>
                  <w:rFonts w:ascii="Calibri" w:cs="Calibri" w:eastAsia="Calibri" w:hAnsi="Calibri"/>
                  <w:i w:val="1"/>
                  <w:iCs w:val="1"/>
                  <w:color w:val="1155cc"/>
                  <w:sz w:val="18"/>
                  <w:szCs w:val="18"/>
                  <w:u w:val="single"/>
                  <w:rtl w:val="0"/>
                </w:rPr>
                <w:t xml:space="preserve">ceos.org</w:t>
              </w:r>
            </w:hyperlink>
            <w:r w:rsidDel="00000000" w:rsidR="00000000" w:rsidRPr="00000000">
              <w:rPr>
                <w:rFonts w:ascii="Calibri" w:cs="Calibri" w:eastAsia="Calibri" w:hAnsi="Calibri"/>
                <w:i w:val="1"/>
                <w:iCs w:val="1"/>
                <w:sz w:val="18"/>
                <w:szCs w:val="18"/>
                <w:rtl w:val="0"/>
              </w:rPr>
              <w:t xml:space="preserve"> </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0F">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WGCV-LSI-04</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adoption of the CEOS PVP as part of the requirements for CEOS-ARD assessment, specifically that sample data should be over a PVP site.</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WGCV-LSI-05</w:t>
            </w:r>
          </w:p>
        </w:tc>
        <w:tc>
          <w:tcP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Matt Steventon and Dave Borges to work with the SIT Chair team to see if CEOS could be used as a forum to encourage adoption of the ESA-NASA Joint Quality Assessment Framework across other global space agencies.</w:t>
            </w:r>
          </w:p>
        </w:tc>
        <w:tc>
          <w:tcP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2026 SIT Technical Workshop</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WGCV-LSI-06</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adoption of the ESA-NASA Joint Quality Assessment Framework for the data quality aspect of the CEOS-ARD Framework.</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WGCV-LSI-07</w:t>
            </w:r>
          </w:p>
        </w:tc>
        <w:tc>
          <w:tcP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Libby Rose to engage WGCV members in the WGClimate CEOS-ARD stability requirement definition group. The proposal is open for further refinement </w:t>
            </w:r>
            <w:hyperlink r:id="rId9">
              <w:r w:rsidDel="00000000" w:rsidR="00000000" w:rsidRPr="00000000">
                <w:rPr>
                  <w:rFonts w:ascii="Calibri" w:cs="Calibri" w:eastAsia="Calibri" w:hAnsi="Calibri"/>
                  <w:color w:val="1155cc"/>
                  <w:u w:val="single"/>
                  <w:rtl w:val="0"/>
                </w:rPr>
                <w:t xml:space="preserve">here</w:t>
              </w:r>
            </w:hyperlink>
            <w:r w:rsidDel="00000000" w:rsidR="00000000" w:rsidRPr="00000000">
              <w:rPr>
                <w:rFonts w:ascii="Calibri" w:cs="Calibri" w:eastAsia="Calibri" w:hAnsi="Calibri"/>
                <w:rtl w:val="0"/>
              </w:rPr>
              <w:t xml:space="preserve"> and definitions for stability terms can be found </w:t>
            </w:r>
            <w:hyperlink r:id="rId10">
              <w:r w:rsidDel="00000000" w:rsidR="00000000" w:rsidRPr="00000000">
                <w:rPr>
                  <w:rFonts w:ascii="Calibri" w:cs="Calibri" w:eastAsia="Calibri" w:hAnsi="Calibri"/>
                  <w:color w:val="1155cc"/>
                  <w:u w:val="single"/>
                  <w:rtl w:val="0"/>
                </w:rPr>
                <w:t xml:space="preserve">here</w:t>
              </w:r>
            </w:hyperlink>
            <w:r w:rsidDel="00000000" w:rsidR="00000000" w:rsidRPr="00000000">
              <w:rPr>
                <w:rFonts w:ascii="Calibri" w:cs="Calibri" w:eastAsia="Calibri" w:hAnsi="Calibri"/>
                <w:rtl w:val="0"/>
              </w:rPr>
              <w:t xml:space="preserve">. The next step is to demonstrate how the draft requirement would be met in practice via a test with a couple of CDRs.</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WGCV-LSI-08</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CEOS-ARD Oversight Group and Strategy development team to consider how the </w:t>
            </w:r>
            <w:hyperlink r:id="rId11">
              <w:r w:rsidDel="00000000" w:rsidR="00000000" w:rsidRPr="00000000">
                <w:rPr>
                  <w:rFonts w:ascii="Calibri" w:cs="Calibri" w:eastAsia="Calibri" w:hAnsi="Calibri"/>
                  <w:color w:val="1155cc"/>
                  <w:u w:val="single"/>
                  <w:rtl w:val="0"/>
                </w:rPr>
                <w:t xml:space="preserve">RE90 framework</w:t>
              </w:r>
            </w:hyperlink>
            <w:r w:rsidDel="00000000" w:rsidR="00000000" w:rsidRPr="00000000">
              <w:rPr>
                <w:rFonts w:ascii="Calibri" w:cs="Calibri" w:eastAsia="Calibri" w:hAnsi="Calibri"/>
                <w:rtl w:val="0"/>
              </w:rPr>
              <w:t xml:space="preserve"> might fit into the CEOS-ARD Strategy data quality pillar.</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p w:rsidR="00000000" w:rsidDel="00000000" w:rsidP="00000000" w:rsidRDefault="00000000" w:rsidRPr="00000000" w14:paraId="0000001E">
            <w:pPr>
              <w:widowControl w:val="0"/>
              <w:spacing w:line="240" w:lineRule="auto"/>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Added to CEOS-ARD Strategy Initiatives Table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WGCV-LSI-09</w:t>
            </w:r>
          </w:p>
        </w:tc>
        <w:tc>
          <w:tcP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share the latest on the CEOS-ARD STAC Extension with Jessica Bobeck.</w:t>
            </w:r>
          </w:p>
        </w:tc>
        <w:tc>
          <w:tcP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ASAP</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WGCV-LSI-10</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an update to the CEOS-ARD Framework to accommodate, in a generalised fashion, constellations and composite/mosaic products.</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24">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WGCV-LSI-11</w:t>
            </w:r>
          </w:p>
        </w:tc>
        <w:tc>
          <w:tcP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WGCV to consider developing best practices for validating uncertainties from constellation-derived products.</w:t>
            </w:r>
          </w:p>
          <w:p w:rsidR="00000000" w:rsidDel="00000000" w:rsidP="00000000" w:rsidRDefault="00000000" w:rsidRPr="00000000" w14:paraId="00000027">
            <w:pPr>
              <w:widowControl w:val="0"/>
              <w:spacing w:before="120"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Note: Ultimately it is up to the data provider to determine the weightings for how a product is constructed from different instruments’ observations (expectation would be that the per-satellite uncertainty is used to drive this weighting). The harmonisation process should be declared and defined.</w:t>
            </w:r>
          </w:p>
        </w:tc>
        <w:tc>
          <w:tcP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WGCV-57</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WGCV-LSI-12</w:t>
            </w:r>
          </w:p>
        </w:tc>
        <w:tc>
          <w:tcP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Welcome nominations from commercial sector participants to serve as a co-chair of a new OGC ARD Domain Working Group (DWG) if it eventuates. It will be important to have a diverse leadership representation of space agencies, the commercial sector, and others.</w:t>
            </w:r>
          </w:p>
        </w:tc>
        <w:tc>
          <w:tcPr>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OGC Connect Helsinki (1-4 June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WGCV-LSI-13</w:t>
            </w:r>
          </w:p>
        </w:tc>
        <w:tc>
          <w:tcP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Cody Anderson to provide more details (including a POC) regarding the USGS EROS ‘first right of refusal’ for commercial archive data before deletion.</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F">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WGCV-LSI-14</w:t>
            </w:r>
          </w:p>
        </w:tc>
        <w:tc>
          <w:tcP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LSI-VC to consider a survey to gather feedback on the concepts detailed in the </w:t>
            </w:r>
            <w:r w:rsidDel="00000000" w:rsidR="00000000" w:rsidRPr="00000000">
              <w:rPr>
                <w:rFonts w:ascii="Calibri" w:cs="Calibri" w:eastAsia="Calibri" w:hAnsi="Calibri"/>
                <w:i w:val="1"/>
                <w:iCs w:val="1"/>
                <w:rtl w:val="0"/>
              </w:rPr>
              <w:t xml:space="preserve">Unlocking Commercial Archives for Public Good,</w:t>
            </w:r>
            <w:r w:rsidDel="00000000" w:rsidR="00000000" w:rsidRPr="00000000">
              <w:rPr>
                <w:rFonts w:ascii="Calibri" w:cs="Calibri" w:eastAsia="Calibri" w:hAnsi="Calibri"/>
                <w:rtl w:val="0"/>
              </w:rPr>
              <w:t xml:space="preserve"> regarding things like background observation scenarios, old archive buyouts, sunset clauses in procurement contracts, etc.</w:t>
            </w:r>
          </w:p>
        </w:tc>
        <w:tc>
          <w:tcPr>
            <w:tcMar>
              <w:top w:w="100.0" w:type="dxa"/>
              <w:left w:w="100.0" w:type="dxa"/>
              <w:bottom w:w="100.0" w:type="dxa"/>
              <w:right w:w="100.0" w:type="dxa"/>
            </w:tcMar>
            <w:vAlign w:val="center"/>
          </w:tcPr>
          <w:p w:rsidR="00000000" w:rsidDel="00000000" w:rsidP="00000000" w:rsidRDefault="00000000" w:rsidRPr="00000000" w14:paraId="00000031">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2">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WGCV-LSI-15</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new CEOS comms materials to sell the business case for CEOS-ARD.</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34">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WGCV-LSI-16</w:t>
            </w:r>
          </w:p>
        </w:tc>
        <w:tc>
          <w:tcP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Referring back to action </w:t>
            </w:r>
            <w:r w:rsidDel="00000000" w:rsidR="00000000" w:rsidRPr="00000000">
              <w:rPr>
                <w:rFonts w:ascii="Calibri" w:cs="Calibri" w:eastAsia="Calibri" w:hAnsi="Calibri"/>
                <w:b w:val="1"/>
                <w:bCs w:val="1"/>
                <w:rtl w:val="0"/>
              </w:rPr>
              <w:t xml:space="preserve">WGCV-LSI-05</w:t>
            </w:r>
            <w:r w:rsidDel="00000000" w:rsidR="00000000" w:rsidRPr="00000000">
              <w:rPr>
                <w:rFonts w:ascii="Calibri" w:cs="Calibri" w:eastAsia="Calibri" w:hAnsi="Calibri"/>
                <w:rtl w:val="0"/>
              </w:rPr>
              <w:t xml:space="preserve">, the ESA team will check with their colleagues regarding the prospect of having other space agencies sign on to adopt the </w:t>
            </w:r>
            <w:r w:rsidDel="00000000" w:rsidR="00000000" w:rsidRPr="00000000">
              <w:rPr>
                <w:rFonts w:ascii="Calibri" w:cs="Calibri" w:eastAsia="Calibri" w:hAnsi="Calibri"/>
                <w:rtl w:val="0"/>
              </w:rPr>
              <w:t xml:space="preserve">ESA-NASA(-USGS) Joint Quality Assessment Framework</w:t>
            </w:r>
            <w:r w:rsidDel="00000000" w:rsidR="00000000" w:rsidRPr="00000000">
              <w:rPr>
                <w:rFonts w:ascii="Calibri" w:cs="Calibri" w:eastAsia="Calibri" w:hAnsi="Calibri"/>
                <w:rtl w:val="0"/>
              </w:rPr>
              <w:t xml:space="preserve">, through a CEOS-led effort. The CSDA team supported the idea in principle.</w:t>
            </w:r>
          </w:p>
        </w:tc>
        <w:tc>
          <w:tcPr>
            <w:tcMar>
              <w:top w:w="100.0" w:type="dxa"/>
              <w:left w:w="100.0" w:type="dxa"/>
              <w:bottom w:w="100.0" w:type="dxa"/>
              <w:right w:w="100.0" w:type="dxa"/>
            </w:tcMar>
            <w:vAlign w:val="center"/>
          </w:tcPr>
          <w:p w:rsidR="00000000" w:rsidDel="00000000" w:rsidP="00000000" w:rsidRDefault="00000000" w:rsidRPr="00000000" w14:paraId="00000037">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July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WGCV-LSI-17</w:t>
            </w:r>
          </w:p>
        </w:tc>
        <w:tc>
          <w:tcP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CEOS-ARD Oversight Group to explore including data scientists / producers in CEOS-ARD PFS development to ensure CEOS-ARD is attainable for providers. The OG should consider adding guidance to the CEOS-ARD Governance Framework about the constituency of PFS development teams to ensure resulting specifications are achievable.</w:t>
            </w:r>
          </w:p>
        </w:tc>
        <w:tc>
          <w:tcP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r w:rsidDel="00000000" w:rsidR="00000000" w:rsidRPr="00000000">
              <w:rPr>
                <w:rtl w:val="0"/>
              </w:rPr>
            </w:r>
          </w:p>
        </w:tc>
      </w:tr>
    </w:tbl>
    <w:p w:rsidR="00000000" w:rsidDel="00000000" w:rsidP="00000000" w:rsidRDefault="00000000" w:rsidRPr="00000000" w14:paraId="0000003B">
      <w:pPr>
        <w:spacing w:after="200" w:lineRule="auto"/>
        <w:rPr>
          <w:rFonts w:ascii="Calibri" w:cs="Calibri" w:eastAsia="Calibri" w:hAnsi="Calibri"/>
        </w:rPr>
      </w:pPr>
      <w:r w:rsidDel="00000000" w:rsidR="00000000" w:rsidRPr="00000000">
        <w:rPr>
          <w:rtl w:val="0"/>
        </w:rPr>
      </w:r>
    </w:p>
    <w:sectPr>
      <w:head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spacing w:after="20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Joint WGCV and LSI-VC Meeting (April 2026) – Actions &amp; Decisions v1.0</w:t>
      <w:tab/>
      <w:tab/>
      <w:tab/>
      <w:tab/>
      <w:tab/>
      <w:tab/>
      <w:tab/>
    </w:r>
    <w:r w:rsidDel="00000000" w:rsidR="00000000" w:rsidRPr="00000000">
      <w:drawing>
        <wp:anchor allowOverlap="1" behindDoc="0" distB="114300" distT="114300" distL="114300" distR="114300" hidden="0" layoutInCell="1" locked="0" relativeHeight="0" simplePos="0">
          <wp:simplePos x="0" y="0"/>
          <wp:positionH relativeFrom="column">
            <wp:posOffset>5667375</wp:posOffset>
          </wp:positionH>
          <wp:positionV relativeFrom="paragraph">
            <wp:posOffset>-342899</wp:posOffset>
          </wp:positionV>
          <wp:extent cx="776288" cy="312116"/>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6288" cy="3121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repository.arizona.edu/bitstream/handle/10150/679931/azu_etd_22868_sip1_m.pdf?sequence=1" TargetMode="External"/><Relationship Id="rId10" Type="http://schemas.openxmlformats.org/officeDocument/2006/relationships/hyperlink" Target="https://docs.google.com/document/d/1chA7ANyjuP8mYhKHSfOCMoEEYlsCvK9qQw8f7sjAHZs/edit?tab=t.0" TargetMode="External"/><Relationship Id="rId12" Type="http://schemas.openxmlformats.org/officeDocument/2006/relationships/header" Target="header1.xml"/><Relationship Id="rId9" Type="http://schemas.openxmlformats.org/officeDocument/2006/relationships/hyperlink" Target="https://docs.google.com/presentation/d/1hp6YHRqolXsSTlCTu5DH5EnqWzu0JrxOdgyeEtUcnbw/edit?slide=id.g3dcfc3df1c4_2_72#slide=id.g3dcfc3df1c4_2_72" TargetMode="External"/><Relationship Id="rId5" Type="http://schemas.openxmlformats.org/officeDocument/2006/relationships/styles" Target="styles.xml"/><Relationship Id="rId6" Type="http://schemas.openxmlformats.org/officeDocument/2006/relationships/hyperlink" Target="https://www.eorc.jaxa.jp/GOSAT/GHGs_Vical/index.html" TargetMode="External"/><Relationship Id="rId7" Type="http://schemas.openxmlformats.org/officeDocument/2006/relationships/hyperlink" Target="https://www.eorc.jaxa.jp/GOSAT/GHGs_Vical/download/Surface_reflectance/" TargetMode="External"/><Relationship Id="rId8" Type="http://schemas.openxmlformats.org/officeDocument/2006/relationships/hyperlink" Target="http://ceo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