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74165" w14:textId="6764CE0B" w:rsidR="00AA469E" w:rsidRPr="007D2B78" w:rsidRDefault="00BA4893" w:rsidP="007D2B78">
      <w:pPr>
        <w:jc w:val="center"/>
        <w:rPr>
          <w:b/>
        </w:rPr>
      </w:pPr>
      <w:r>
        <w:rPr>
          <w:b/>
        </w:rPr>
        <w:t>CEOS Process Paper</w:t>
      </w:r>
      <w:r w:rsidR="00D8104D" w:rsidRPr="007D2B78">
        <w:rPr>
          <w:b/>
        </w:rPr>
        <w:t xml:space="preserve"> for Triggering the Recovery Observatory</w:t>
      </w:r>
    </w:p>
    <w:p w14:paraId="61B4921C" w14:textId="64912D73" w:rsidR="00D8104D" w:rsidRDefault="00DF3F30" w:rsidP="007D2B78">
      <w:pPr>
        <w:jc w:val="center"/>
      </w:pPr>
      <w:bookmarkStart w:id="0" w:name="_GoBack"/>
      <w:bookmarkEnd w:id="0"/>
      <w:r>
        <w:t>D</w:t>
      </w:r>
      <w:r w:rsidR="00D8104D">
        <w:t xml:space="preserve">raft as of </w:t>
      </w:r>
      <w:r w:rsidR="00917ABE">
        <w:t>2 September</w:t>
      </w:r>
      <w:r w:rsidR="007D2B78">
        <w:t>,</w:t>
      </w:r>
      <w:r w:rsidR="00D8104D">
        <w:t xml:space="preserve"> 2015</w:t>
      </w:r>
    </w:p>
    <w:p w14:paraId="675634E1" w14:textId="77777777" w:rsidR="00D8104D" w:rsidRDefault="00D8104D"/>
    <w:p w14:paraId="71378D7A" w14:textId="77777777" w:rsidR="00D8104D" w:rsidRDefault="00D8104D"/>
    <w:p w14:paraId="7B3B772E" w14:textId="64D595C9" w:rsidR="007D2B78" w:rsidRPr="007D2B78" w:rsidRDefault="00E94041" w:rsidP="00D8104D">
      <w:pPr>
        <w:numPr>
          <w:ilvl w:val="0"/>
          <w:numId w:val="1"/>
        </w:numPr>
        <w:rPr>
          <w:lang w:val="en-CA"/>
        </w:rPr>
      </w:pPr>
      <w:r>
        <w:rPr>
          <w:lang w:val="en-GB"/>
        </w:rPr>
        <w:t xml:space="preserve">The </w:t>
      </w:r>
      <w:r w:rsidR="007D2B78">
        <w:rPr>
          <w:lang w:val="en-GB"/>
        </w:rPr>
        <w:t xml:space="preserve">International </w:t>
      </w:r>
      <w:r>
        <w:rPr>
          <w:lang w:val="en-GB"/>
        </w:rPr>
        <w:t>Charter is activated</w:t>
      </w:r>
      <w:r w:rsidR="007D2B78">
        <w:rPr>
          <w:lang w:val="en-GB"/>
        </w:rPr>
        <w:t xml:space="preserve"> after major disaster</w:t>
      </w:r>
      <w:r>
        <w:rPr>
          <w:lang w:val="en-GB"/>
        </w:rPr>
        <w:t xml:space="preserve">s. The </w:t>
      </w:r>
      <w:r w:rsidR="007D2B78">
        <w:rPr>
          <w:lang w:val="en-GB"/>
        </w:rPr>
        <w:t>Recovery Observatory O</w:t>
      </w:r>
      <w:r w:rsidR="007D2B78" w:rsidRPr="00D8104D">
        <w:rPr>
          <w:lang w:val="en-GB"/>
        </w:rPr>
        <w:t xml:space="preserve">versight Team </w:t>
      </w:r>
      <w:r w:rsidR="007D2B78">
        <w:rPr>
          <w:lang w:val="en-GB"/>
        </w:rPr>
        <w:t>(ROOT)</w:t>
      </w:r>
      <w:r>
        <w:rPr>
          <w:lang w:val="en-GB"/>
        </w:rPr>
        <w:t>, which is a CEOS body operating under the WG Disasters,</w:t>
      </w:r>
      <w:r w:rsidR="007D2B78">
        <w:rPr>
          <w:lang w:val="en-GB"/>
        </w:rPr>
        <w:t xml:space="preserve"> monitors Charter activations </w:t>
      </w:r>
      <w:r w:rsidR="00BA4893">
        <w:rPr>
          <w:lang w:val="en-GB"/>
        </w:rPr>
        <w:t xml:space="preserve">and each </w:t>
      </w:r>
      <w:r w:rsidR="00917ABE">
        <w:rPr>
          <w:lang w:val="en-GB"/>
        </w:rPr>
        <w:t xml:space="preserve">individual </w:t>
      </w:r>
      <w:r w:rsidR="00BA4893">
        <w:rPr>
          <w:lang w:val="en-GB"/>
        </w:rPr>
        <w:t>CEOS agency and DRM stakeholder</w:t>
      </w:r>
      <w:r w:rsidR="007D2B78">
        <w:rPr>
          <w:lang w:val="en-GB"/>
        </w:rPr>
        <w:t xml:space="preserve"> </w:t>
      </w:r>
      <w:r w:rsidR="007D2B78" w:rsidRPr="00D8104D">
        <w:rPr>
          <w:lang w:val="en-GB"/>
        </w:rPr>
        <w:t>consider</w:t>
      </w:r>
      <w:r w:rsidR="007D2B78">
        <w:rPr>
          <w:lang w:val="en-GB"/>
        </w:rPr>
        <w:t xml:space="preserve">s whether </w:t>
      </w:r>
      <w:r w:rsidR="00917ABE">
        <w:rPr>
          <w:lang w:val="en-GB"/>
        </w:rPr>
        <w:t xml:space="preserve">in their subjective opinion a given </w:t>
      </w:r>
      <w:r w:rsidR="007D2B78" w:rsidRPr="00D8104D">
        <w:rPr>
          <w:lang w:val="en-GB"/>
        </w:rPr>
        <w:t>ev</w:t>
      </w:r>
      <w:r w:rsidR="007D2B78">
        <w:rPr>
          <w:lang w:val="en-GB"/>
        </w:rPr>
        <w:t>ent is a good candidate for the</w:t>
      </w:r>
      <w:r w:rsidR="007D2B78" w:rsidRPr="00D8104D">
        <w:rPr>
          <w:lang w:val="en-GB"/>
        </w:rPr>
        <w:t xml:space="preserve"> Observatory. </w:t>
      </w:r>
      <w:r w:rsidR="00DF3F30">
        <w:rPr>
          <w:lang w:val="en-GB"/>
        </w:rPr>
        <w:t>In deciding whether or not to request a triggering of the Observatory, the ROOT member may consider the size and scale of the disaster, the relevance of using satellite data for recovery planning and monitoring, the size and location of the geographic area of the disaster, the likely success of the Observatory from a technical or political standpoint or any number of other relevant factors.</w:t>
      </w:r>
    </w:p>
    <w:p w14:paraId="49388D9E" w14:textId="77777777" w:rsidR="007D2B78" w:rsidRPr="00D8104D" w:rsidRDefault="007D2B78" w:rsidP="007D2B78">
      <w:pPr>
        <w:ind w:left="720"/>
        <w:rPr>
          <w:lang w:val="en-CA"/>
        </w:rPr>
      </w:pPr>
    </w:p>
    <w:p w14:paraId="33581546" w14:textId="74C09F84" w:rsidR="007D2B78" w:rsidRPr="007D2B78" w:rsidRDefault="007D2B78" w:rsidP="00D8104D">
      <w:pPr>
        <w:numPr>
          <w:ilvl w:val="0"/>
          <w:numId w:val="1"/>
        </w:numPr>
        <w:rPr>
          <w:lang w:val="en-CA"/>
        </w:rPr>
      </w:pPr>
      <w:r w:rsidRPr="00D8104D">
        <w:rPr>
          <w:lang w:val="en-IE"/>
        </w:rPr>
        <w:t>If event is considered to be a candidate event in the subjective j</w:t>
      </w:r>
      <w:r>
        <w:rPr>
          <w:lang w:val="en-IE"/>
        </w:rPr>
        <w:t xml:space="preserve">udgement of any Team </w:t>
      </w:r>
      <w:r w:rsidR="00BA4893">
        <w:rPr>
          <w:lang w:val="en-IE"/>
        </w:rPr>
        <w:t>participant</w:t>
      </w:r>
      <w:r>
        <w:rPr>
          <w:lang w:val="en-IE"/>
        </w:rPr>
        <w:t xml:space="preserve">, the </w:t>
      </w:r>
      <w:r w:rsidR="00BA4893">
        <w:rPr>
          <w:lang w:val="en-IE"/>
        </w:rPr>
        <w:t>participant</w:t>
      </w:r>
      <w:r w:rsidRPr="00D8104D">
        <w:rPr>
          <w:lang w:val="en-IE"/>
        </w:rPr>
        <w:t xml:space="preserve"> </w:t>
      </w:r>
      <w:r>
        <w:rPr>
          <w:lang w:val="en-IE"/>
        </w:rPr>
        <w:t xml:space="preserve">contacts ROOT chair and requests </w:t>
      </w:r>
      <w:r w:rsidR="00DF3F30">
        <w:rPr>
          <w:lang w:val="en-IE"/>
        </w:rPr>
        <w:t xml:space="preserve">a </w:t>
      </w:r>
      <w:r>
        <w:rPr>
          <w:lang w:val="en-IE"/>
        </w:rPr>
        <w:t>teleconference to discuss</w:t>
      </w:r>
      <w:r w:rsidRPr="00D8104D">
        <w:rPr>
          <w:lang w:val="en-IE"/>
        </w:rPr>
        <w:t xml:space="preserve"> triggering. </w:t>
      </w:r>
    </w:p>
    <w:p w14:paraId="7595B3D5" w14:textId="77777777" w:rsidR="007D2B78" w:rsidRPr="00D8104D" w:rsidRDefault="007D2B78" w:rsidP="007D2B78">
      <w:pPr>
        <w:rPr>
          <w:lang w:val="en-CA"/>
        </w:rPr>
      </w:pPr>
    </w:p>
    <w:p w14:paraId="5E55402B" w14:textId="0A7BFBD5" w:rsidR="00BA4893" w:rsidRPr="00BA4893" w:rsidRDefault="007D2B78" w:rsidP="007D2B78">
      <w:pPr>
        <w:numPr>
          <w:ilvl w:val="0"/>
          <w:numId w:val="1"/>
        </w:numPr>
        <w:rPr>
          <w:lang w:val="en-CA"/>
        </w:rPr>
      </w:pPr>
      <w:r>
        <w:rPr>
          <w:lang w:val="en-IE"/>
        </w:rPr>
        <w:t>ROOT secretariat will prepare Summary Event Report</w:t>
      </w:r>
      <w:r w:rsidRPr="00D8104D">
        <w:rPr>
          <w:lang w:val="en-IE"/>
        </w:rPr>
        <w:t xml:space="preserve"> </w:t>
      </w:r>
      <w:r>
        <w:rPr>
          <w:lang w:val="en-IE"/>
        </w:rPr>
        <w:t xml:space="preserve">in coordination with </w:t>
      </w:r>
      <w:r w:rsidR="00BA4893">
        <w:rPr>
          <w:lang w:val="en-IE"/>
        </w:rPr>
        <w:t>participant</w:t>
      </w:r>
      <w:r>
        <w:rPr>
          <w:lang w:val="en-IE"/>
        </w:rPr>
        <w:t xml:space="preserve"> that requested triggering discussion</w:t>
      </w:r>
      <w:r w:rsidR="00BA4893">
        <w:rPr>
          <w:lang w:val="en-IE"/>
        </w:rPr>
        <w:t xml:space="preserve"> and any interested participants</w:t>
      </w:r>
      <w:r>
        <w:rPr>
          <w:lang w:val="en-IE"/>
        </w:rPr>
        <w:t xml:space="preserve">. Summary Event report will present the event, its impact and analyse pros and cons of creating an Observatory for the specific event. </w:t>
      </w:r>
      <w:r w:rsidR="00917ABE">
        <w:rPr>
          <w:lang w:val="en-IE"/>
        </w:rPr>
        <w:t xml:space="preserve"> In preparing the Summary Event Report, the ROOT Secretariat consults the Data Coordination Team.</w:t>
      </w:r>
    </w:p>
    <w:p w14:paraId="12B959C7" w14:textId="77777777" w:rsidR="00BA4893" w:rsidRDefault="00BA4893" w:rsidP="00BA4893">
      <w:pPr>
        <w:rPr>
          <w:lang w:val="en-IE"/>
        </w:rPr>
      </w:pPr>
    </w:p>
    <w:p w14:paraId="6BB5F298" w14:textId="77777777" w:rsidR="00BA4893" w:rsidRDefault="007D2B78" w:rsidP="00BA4893">
      <w:pPr>
        <w:ind w:left="720"/>
        <w:rPr>
          <w:lang w:val="en-IE"/>
        </w:rPr>
      </w:pPr>
      <w:r>
        <w:rPr>
          <w:lang w:val="en-IE"/>
        </w:rPr>
        <w:t xml:space="preserve">In particular, the report: </w:t>
      </w:r>
    </w:p>
    <w:p w14:paraId="29BCB3DF" w14:textId="77777777" w:rsidR="00BA4893" w:rsidRPr="00DF3F30" w:rsidRDefault="007D2B78" w:rsidP="00DF3F30">
      <w:pPr>
        <w:pStyle w:val="ListParagraph"/>
        <w:numPr>
          <w:ilvl w:val="0"/>
          <w:numId w:val="4"/>
        </w:numPr>
        <w:rPr>
          <w:rFonts w:asciiTheme="minorHAnsi" w:hAnsiTheme="minorHAnsi"/>
          <w:lang w:val="en-IE"/>
        </w:rPr>
      </w:pPr>
      <w:r w:rsidRPr="00DF3F30">
        <w:rPr>
          <w:rFonts w:asciiTheme="minorHAnsi" w:hAnsiTheme="minorHAnsi"/>
          <w:lang w:val="en-IE"/>
        </w:rPr>
        <w:t>examines predetermined scenarios developed during preparation phase</w:t>
      </w:r>
      <w:r w:rsidR="00BA4893" w:rsidRPr="00DF3F30">
        <w:rPr>
          <w:rFonts w:asciiTheme="minorHAnsi" w:hAnsiTheme="minorHAnsi"/>
          <w:lang w:val="en-IE"/>
        </w:rPr>
        <w:t xml:space="preserve"> and identifies </w:t>
      </w:r>
      <w:r w:rsidR="00083D0F" w:rsidRPr="00DF3F30">
        <w:rPr>
          <w:rFonts w:asciiTheme="minorHAnsi" w:hAnsiTheme="minorHAnsi"/>
          <w:lang w:val="en-IE"/>
        </w:rPr>
        <w:t>data acquisition requirements</w:t>
      </w:r>
      <w:r w:rsidRPr="00DF3F30">
        <w:rPr>
          <w:rFonts w:asciiTheme="minorHAnsi" w:hAnsiTheme="minorHAnsi"/>
          <w:lang w:val="en-IE"/>
        </w:rPr>
        <w:t xml:space="preserve">; </w:t>
      </w:r>
    </w:p>
    <w:p w14:paraId="7A752699" w14:textId="77777777" w:rsidR="00BA4893" w:rsidRPr="00DF3F30" w:rsidRDefault="007D2B78" w:rsidP="00DF3F30">
      <w:pPr>
        <w:pStyle w:val="ListParagraph"/>
        <w:numPr>
          <w:ilvl w:val="0"/>
          <w:numId w:val="4"/>
        </w:numPr>
        <w:rPr>
          <w:rFonts w:asciiTheme="minorHAnsi" w:hAnsiTheme="minorHAnsi"/>
        </w:rPr>
      </w:pPr>
      <w:r w:rsidRPr="00DF3F30">
        <w:rPr>
          <w:rFonts w:asciiTheme="minorHAnsi" w:hAnsiTheme="minorHAnsi"/>
          <w:lang w:val="en-IE"/>
        </w:rPr>
        <w:t>considers advice from DRM stakeholders;</w:t>
      </w:r>
      <w:r w:rsidRPr="00DF3F30">
        <w:rPr>
          <w:rFonts w:asciiTheme="minorHAnsi" w:hAnsiTheme="minorHAnsi"/>
        </w:rPr>
        <w:t xml:space="preserve"> </w:t>
      </w:r>
    </w:p>
    <w:p w14:paraId="63966A41" w14:textId="5F7431F5" w:rsidR="00972C47" w:rsidRPr="00DF3F30" w:rsidRDefault="00972C47" w:rsidP="00DF3F30">
      <w:pPr>
        <w:pStyle w:val="ListParagraph"/>
        <w:numPr>
          <w:ilvl w:val="0"/>
          <w:numId w:val="4"/>
        </w:numPr>
        <w:rPr>
          <w:rFonts w:asciiTheme="minorHAnsi" w:hAnsiTheme="minorHAnsi"/>
          <w:lang w:val="en-IE"/>
        </w:rPr>
      </w:pPr>
      <w:r w:rsidRPr="00DF3F30">
        <w:rPr>
          <w:rFonts w:asciiTheme="minorHAnsi" w:hAnsiTheme="minorHAnsi"/>
          <w:lang w:val="en-IE"/>
        </w:rPr>
        <w:t xml:space="preserve">identifies </w:t>
      </w:r>
      <w:r w:rsidR="00917ABE">
        <w:rPr>
          <w:rFonts w:asciiTheme="minorHAnsi" w:hAnsiTheme="minorHAnsi"/>
          <w:lang w:val="en-IE"/>
        </w:rPr>
        <w:t xml:space="preserve">possible </w:t>
      </w:r>
      <w:r w:rsidRPr="00DF3F30">
        <w:rPr>
          <w:rFonts w:asciiTheme="minorHAnsi" w:hAnsiTheme="minorHAnsi"/>
          <w:lang w:val="en-IE"/>
        </w:rPr>
        <w:t xml:space="preserve">intentions from the </w:t>
      </w:r>
      <w:r w:rsidR="000C5B39" w:rsidRPr="000C5B39">
        <w:rPr>
          <w:rFonts w:asciiTheme="minorHAnsi" w:hAnsiTheme="minorHAnsi"/>
          <w:lang w:val="en-IE"/>
        </w:rPr>
        <w:t>CEOS Ag</w:t>
      </w:r>
      <w:r w:rsidR="000C5B39">
        <w:rPr>
          <w:rFonts w:asciiTheme="minorHAnsi" w:hAnsiTheme="minorHAnsi"/>
          <w:lang w:val="en-IE"/>
        </w:rPr>
        <w:t>e</w:t>
      </w:r>
      <w:r w:rsidRPr="00DF3F30">
        <w:rPr>
          <w:rFonts w:asciiTheme="minorHAnsi" w:hAnsiTheme="minorHAnsi"/>
          <w:lang w:val="en-IE"/>
        </w:rPr>
        <w:t>ncies to provide data in response to the data acquisition requirements.</w:t>
      </w:r>
    </w:p>
    <w:p w14:paraId="48E2062E" w14:textId="61E810DC" w:rsidR="00BA4893" w:rsidRPr="00DF3F30" w:rsidRDefault="007D2B78" w:rsidP="00DF3F30">
      <w:pPr>
        <w:pStyle w:val="ListParagraph"/>
        <w:numPr>
          <w:ilvl w:val="0"/>
          <w:numId w:val="4"/>
        </w:numPr>
        <w:rPr>
          <w:rFonts w:asciiTheme="minorHAnsi" w:hAnsiTheme="minorHAnsi"/>
          <w:lang w:val="en-IE"/>
        </w:rPr>
      </w:pPr>
      <w:proofErr w:type="gramStart"/>
      <w:r w:rsidRPr="00DF3F30">
        <w:rPr>
          <w:rFonts w:asciiTheme="minorHAnsi" w:hAnsiTheme="minorHAnsi"/>
        </w:rPr>
        <w:t>identifies</w:t>
      </w:r>
      <w:proofErr w:type="gramEnd"/>
      <w:r w:rsidRPr="00DF3F30">
        <w:rPr>
          <w:rFonts w:asciiTheme="minorHAnsi" w:hAnsiTheme="minorHAnsi"/>
        </w:rPr>
        <w:t xml:space="preserve"> </w:t>
      </w:r>
      <w:r w:rsidR="00433108" w:rsidRPr="00DF3F30">
        <w:rPr>
          <w:rFonts w:asciiTheme="minorHAnsi" w:hAnsiTheme="minorHAnsi"/>
          <w:lang w:val="en-IE"/>
        </w:rPr>
        <w:t xml:space="preserve">potential contribution </w:t>
      </w:r>
      <w:r w:rsidRPr="00DF3F30">
        <w:rPr>
          <w:rFonts w:asciiTheme="minorHAnsi" w:hAnsiTheme="minorHAnsi"/>
          <w:lang w:val="en-IE"/>
        </w:rPr>
        <w:t xml:space="preserve">in kind or resources for value added support; </w:t>
      </w:r>
    </w:p>
    <w:p w14:paraId="6F33483D" w14:textId="77777777" w:rsidR="00BA4893" w:rsidRPr="00DF3F30" w:rsidRDefault="007D2B78" w:rsidP="00DF3F30">
      <w:pPr>
        <w:pStyle w:val="ListParagraph"/>
        <w:numPr>
          <w:ilvl w:val="0"/>
          <w:numId w:val="4"/>
        </w:numPr>
        <w:rPr>
          <w:rFonts w:asciiTheme="minorHAnsi" w:hAnsiTheme="minorHAnsi"/>
          <w:lang w:val="en-IE"/>
        </w:rPr>
      </w:pPr>
      <w:r w:rsidRPr="00DF3F30">
        <w:rPr>
          <w:rFonts w:asciiTheme="minorHAnsi" w:hAnsiTheme="minorHAnsi"/>
          <w:lang w:val="en-IE"/>
        </w:rPr>
        <w:t xml:space="preserve">looks at the scale and scope of the disaster; </w:t>
      </w:r>
    </w:p>
    <w:p w14:paraId="7259AEC6" w14:textId="1AAA35C3" w:rsidR="00BA4893" w:rsidRPr="00DF3F30" w:rsidRDefault="00BA4893" w:rsidP="00DF3F30">
      <w:pPr>
        <w:pStyle w:val="ListParagraph"/>
        <w:numPr>
          <w:ilvl w:val="0"/>
          <w:numId w:val="4"/>
        </w:numPr>
        <w:rPr>
          <w:rFonts w:asciiTheme="minorHAnsi" w:hAnsiTheme="minorHAnsi"/>
          <w:lang w:val="en-IE"/>
        </w:rPr>
      </w:pPr>
      <w:r w:rsidRPr="00DF3F30">
        <w:rPr>
          <w:rFonts w:asciiTheme="minorHAnsi" w:hAnsiTheme="minorHAnsi"/>
          <w:lang w:val="en-IE"/>
        </w:rPr>
        <w:t>identifies any issues associated with triggering;</w:t>
      </w:r>
    </w:p>
    <w:p w14:paraId="3BCA46DB" w14:textId="77777777" w:rsidR="00BA4893" w:rsidRPr="00DF3F30" w:rsidRDefault="007D2B78" w:rsidP="00DF3F30">
      <w:pPr>
        <w:pStyle w:val="ListParagraph"/>
        <w:numPr>
          <w:ilvl w:val="0"/>
          <w:numId w:val="4"/>
        </w:numPr>
        <w:rPr>
          <w:rFonts w:asciiTheme="minorHAnsi" w:hAnsiTheme="minorHAnsi"/>
          <w:lang w:val="en-IE"/>
        </w:rPr>
      </w:pPr>
      <w:r w:rsidRPr="00DF3F30">
        <w:rPr>
          <w:rFonts w:asciiTheme="minorHAnsi" w:hAnsiTheme="minorHAnsi"/>
          <w:lang w:val="en-IE"/>
        </w:rPr>
        <w:t xml:space="preserve">qualifies expected government support in country; </w:t>
      </w:r>
    </w:p>
    <w:p w14:paraId="1F289AB0" w14:textId="13C1E63C" w:rsidR="00BA4893" w:rsidRPr="00DF3F30" w:rsidRDefault="00BA4893" w:rsidP="00DF3F30">
      <w:pPr>
        <w:pStyle w:val="ListParagraph"/>
        <w:numPr>
          <w:ilvl w:val="0"/>
          <w:numId w:val="4"/>
        </w:numPr>
        <w:rPr>
          <w:rFonts w:asciiTheme="minorHAnsi" w:hAnsiTheme="minorHAnsi"/>
          <w:lang w:val="en-IE"/>
        </w:rPr>
      </w:pPr>
      <w:r w:rsidRPr="00DF3F30">
        <w:rPr>
          <w:rFonts w:asciiTheme="minorHAnsi" w:hAnsiTheme="minorHAnsi"/>
          <w:lang w:val="en-IE"/>
        </w:rPr>
        <w:t xml:space="preserve">assesses the appropriateness of </w:t>
      </w:r>
      <w:r w:rsidR="00F71AA6" w:rsidRPr="00DF3F30">
        <w:rPr>
          <w:rFonts w:asciiTheme="minorHAnsi" w:hAnsiTheme="minorHAnsi"/>
          <w:lang w:val="en-IE"/>
        </w:rPr>
        <w:t>triggering</w:t>
      </w:r>
      <w:r w:rsidRPr="00DF3F30">
        <w:rPr>
          <w:rFonts w:asciiTheme="minorHAnsi" w:hAnsiTheme="minorHAnsi"/>
          <w:lang w:val="en-IE"/>
        </w:rPr>
        <w:t xml:space="preserve"> in this instance; </w:t>
      </w:r>
      <w:r w:rsidR="007D2B78" w:rsidRPr="00DF3F30">
        <w:rPr>
          <w:rFonts w:asciiTheme="minorHAnsi" w:hAnsiTheme="minorHAnsi"/>
          <w:lang w:val="en-IE"/>
        </w:rPr>
        <w:t xml:space="preserve">and </w:t>
      </w:r>
    </w:p>
    <w:p w14:paraId="5534F81E" w14:textId="14C53C64" w:rsidR="007D2B78" w:rsidRPr="00DF3F30" w:rsidRDefault="007D2B78" w:rsidP="00DF3F30">
      <w:pPr>
        <w:pStyle w:val="ListParagraph"/>
        <w:numPr>
          <w:ilvl w:val="0"/>
          <w:numId w:val="4"/>
        </w:numPr>
        <w:rPr>
          <w:rFonts w:asciiTheme="minorHAnsi" w:hAnsiTheme="minorHAnsi"/>
        </w:rPr>
      </w:pPr>
      <w:r w:rsidRPr="00DF3F30">
        <w:rPr>
          <w:rFonts w:asciiTheme="minorHAnsi" w:hAnsiTheme="minorHAnsi"/>
          <w:lang w:val="en-IE"/>
        </w:rPr>
        <w:t>describes the benefit</w:t>
      </w:r>
      <w:r w:rsidR="00433108" w:rsidRPr="00DF3F30">
        <w:rPr>
          <w:rFonts w:asciiTheme="minorHAnsi" w:hAnsiTheme="minorHAnsi"/>
          <w:lang w:val="en-IE"/>
        </w:rPr>
        <w:t>s</w:t>
      </w:r>
      <w:r w:rsidRPr="00DF3F30">
        <w:rPr>
          <w:rFonts w:asciiTheme="minorHAnsi" w:hAnsiTheme="minorHAnsi"/>
          <w:lang w:val="en-IE"/>
        </w:rPr>
        <w:t xml:space="preserve"> to be derived from establishment of Observatory.</w:t>
      </w:r>
    </w:p>
    <w:p w14:paraId="4AA5B50A" w14:textId="77777777" w:rsidR="007D2B78" w:rsidRPr="007D2B78" w:rsidRDefault="007D2B78" w:rsidP="007D2B78">
      <w:pPr>
        <w:rPr>
          <w:lang w:val="en-CA"/>
        </w:rPr>
      </w:pPr>
    </w:p>
    <w:p w14:paraId="47707B28" w14:textId="25A1C358" w:rsidR="00BA4893" w:rsidRPr="00BA4893" w:rsidRDefault="00BA4893" w:rsidP="00D8104D">
      <w:pPr>
        <w:numPr>
          <w:ilvl w:val="0"/>
          <w:numId w:val="2"/>
        </w:numPr>
        <w:rPr>
          <w:lang w:val="en-CA"/>
        </w:rPr>
      </w:pPr>
      <w:r>
        <w:rPr>
          <w:lang w:val="en-IE"/>
        </w:rPr>
        <w:t>The CEOS WG Disasters Chair or the ROOT Chair, with the support of a</w:t>
      </w:r>
      <w:r w:rsidR="007D2B78" w:rsidRPr="00D8104D">
        <w:rPr>
          <w:lang w:val="en-IE"/>
        </w:rPr>
        <w:t xml:space="preserve">t least three </w:t>
      </w:r>
      <w:r>
        <w:rPr>
          <w:lang w:val="en-IE"/>
        </w:rPr>
        <w:t xml:space="preserve">CEOS </w:t>
      </w:r>
      <w:r w:rsidR="007D2B78" w:rsidRPr="00D8104D">
        <w:rPr>
          <w:lang w:val="en-IE"/>
        </w:rPr>
        <w:t>Oversight</w:t>
      </w:r>
      <w:r w:rsidR="00083D0F">
        <w:rPr>
          <w:lang w:val="en-IE"/>
        </w:rPr>
        <w:t xml:space="preserve"> Team </w:t>
      </w:r>
      <w:r>
        <w:rPr>
          <w:lang w:val="en-IE"/>
        </w:rPr>
        <w:t>participant</w:t>
      </w:r>
      <w:r w:rsidR="00083D0F">
        <w:rPr>
          <w:lang w:val="en-IE"/>
        </w:rPr>
        <w:t xml:space="preserve">s </w:t>
      </w:r>
      <w:r w:rsidR="002C2A6F">
        <w:rPr>
          <w:lang w:val="en-IE"/>
        </w:rPr>
        <w:t xml:space="preserve">(i.e. from CEOS Agencies) </w:t>
      </w:r>
      <w:r w:rsidR="00083D0F">
        <w:rPr>
          <w:lang w:val="en-IE"/>
        </w:rPr>
        <w:t xml:space="preserve">and at least one </w:t>
      </w:r>
      <w:r>
        <w:rPr>
          <w:lang w:val="en-IE"/>
        </w:rPr>
        <w:t>DRM stakeholder participant</w:t>
      </w:r>
      <w:r w:rsidR="007D2B78" w:rsidRPr="00D8104D">
        <w:rPr>
          <w:lang w:val="en-IE"/>
        </w:rPr>
        <w:t xml:space="preserve">, </w:t>
      </w:r>
      <w:r w:rsidR="00917ABE">
        <w:rPr>
          <w:lang w:val="en-IE"/>
        </w:rPr>
        <w:t>after informing</w:t>
      </w:r>
      <w:r w:rsidR="007D2B78" w:rsidRPr="00D8104D">
        <w:rPr>
          <w:lang w:val="en-IE"/>
        </w:rPr>
        <w:t xml:space="preserve"> the CEOS Executive Officer</w:t>
      </w:r>
      <w:r w:rsidR="00083D0F">
        <w:rPr>
          <w:lang w:val="en-IE"/>
        </w:rPr>
        <w:t>,</w:t>
      </w:r>
      <w:r w:rsidR="007D2B78" w:rsidRPr="00D8104D">
        <w:rPr>
          <w:lang w:val="en-IE"/>
        </w:rPr>
        <w:t xml:space="preserve"> </w:t>
      </w:r>
      <w:r>
        <w:rPr>
          <w:lang w:val="en-IE"/>
        </w:rPr>
        <w:t xml:space="preserve">with the agreement of </w:t>
      </w:r>
      <w:r w:rsidR="007D2B78" w:rsidRPr="00D8104D">
        <w:rPr>
          <w:lang w:val="en-IE"/>
        </w:rPr>
        <w:t xml:space="preserve">the CEOS Chair and SIT Chair, </w:t>
      </w:r>
      <w:r>
        <w:rPr>
          <w:lang w:val="en-IE"/>
        </w:rPr>
        <w:t xml:space="preserve">recommends that the CEOS Chair convene an urgent ad hoc telcon of contributing CEOS agencies, represented by their CEOS principal or the principal’s delegate. This ad hoc telcon shall take place within ten days of the request from the WG Disasters Chair or the ROOT Chair. </w:t>
      </w:r>
    </w:p>
    <w:p w14:paraId="255F4AF6" w14:textId="77777777" w:rsidR="00BA4893" w:rsidRPr="00BA4893" w:rsidRDefault="00BA4893" w:rsidP="00BA4893">
      <w:pPr>
        <w:ind w:left="720"/>
        <w:rPr>
          <w:lang w:val="en-CA"/>
        </w:rPr>
      </w:pPr>
    </w:p>
    <w:p w14:paraId="18659580" w14:textId="2B82899B" w:rsidR="00083D0F" w:rsidRPr="00BA4893" w:rsidRDefault="00BA4893" w:rsidP="00083D0F">
      <w:pPr>
        <w:numPr>
          <w:ilvl w:val="0"/>
          <w:numId w:val="2"/>
        </w:numPr>
        <w:rPr>
          <w:lang w:val="en-CA"/>
        </w:rPr>
      </w:pPr>
      <w:r w:rsidRPr="00BA4893">
        <w:rPr>
          <w:lang w:val="en-IE"/>
        </w:rPr>
        <w:t>The ad hoc telcon is chaired by the CEOS Chair or his or her representative. During this telcon, the Chair must determine whether there is support for triggering from three contribu</w:t>
      </w:r>
      <w:r w:rsidR="00433108">
        <w:rPr>
          <w:lang w:val="en-IE"/>
        </w:rPr>
        <w:t>t</w:t>
      </w:r>
      <w:r w:rsidRPr="00BA4893">
        <w:rPr>
          <w:lang w:val="en-IE"/>
        </w:rPr>
        <w:t>ing CEOS agencies, who collectively represent a critical mass of required data sets, and support from at least one DRM stakeholder. If the required support is established, the CEOS Ch</w:t>
      </w:r>
      <w:r>
        <w:rPr>
          <w:lang w:val="en-IE"/>
        </w:rPr>
        <w:t>air announces within</w:t>
      </w:r>
      <w:r w:rsidRPr="00BA4893">
        <w:rPr>
          <w:lang w:val="en-IE"/>
        </w:rPr>
        <w:t xml:space="preserve"> CEOS the decision to create </w:t>
      </w:r>
      <w:r w:rsidR="007D2B78" w:rsidRPr="00BA4893">
        <w:rPr>
          <w:lang w:val="en-IE"/>
        </w:rPr>
        <w:t>the Observatory</w:t>
      </w:r>
      <w:r w:rsidRPr="00BA4893">
        <w:rPr>
          <w:lang w:val="en-IE"/>
        </w:rPr>
        <w:t xml:space="preserve"> </w:t>
      </w:r>
      <w:r w:rsidRPr="00D8104D">
        <w:rPr>
          <w:lang w:val="en-IE"/>
        </w:rPr>
        <w:t xml:space="preserve">with a call for </w:t>
      </w:r>
      <w:r>
        <w:rPr>
          <w:lang w:val="en-IE"/>
        </w:rPr>
        <w:t xml:space="preserve">broader </w:t>
      </w:r>
      <w:r w:rsidRPr="00D8104D">
        <w:rPr>
          <w:lang w:val="en-IE"/>
        </w:rPr>
        <w:t>participation</w:t>
      </w:r>
      <w:r>
        <w:rPr>
          <w:lang w:val="en-IE"/>
        </w:rPr>
        <w:t xml:space="preserve"> from satellite agencies</w:t>
      </w:r>
      <w:r w:rsidRPr="00D8104D">
        <w:rPr>
          <w:lang w:val="en-IE"/>
        </w:rPr>
        <w:t>.</w:t>
      </w:r>
      <w:r w:rsidR="00083D0F" w:rsidRPr="00BA4893">
        <w:rPr>
          <w:lang w:val="en-IE"/>
        </w:rPr>
        <w:t xml:space="preserve"> The ROOT Chair </w:t>
      </w:r>
      <w:r w:rsidRPr="00BA4893">
        <w:rPr>
          <w:lang w:val="en-IE"/>
        </w:rPr>
        <w:t>brief</w:t>
      </w:r>
      <w:r w:rsidR="00083D0F" w:rsidRPr="00BA4893">
        <w:rPr>
          <w:lang w:val="en-IE"/>
        </w:rPr>
        <w:t xml:space="preserve">s the CEOS SEC </w:t>
      </w:r>
      <w:r w:rsidRPr="00BA4893">
        <w:rPr>
          <w:lang w:val="en-IE"/>
        </w:rPr>
        <w:t>on</w:t>
      </w:r>
      <w:r w:rsidR="00083D0F" w:rsidRPr="00BA4893">
        <w:rPr>
          <w:lang w:val="en-IE"/>
        </w:rPr>
        <w:t xml:space="preserve"> the Observatory</w:t>
      </w:r>
      <w:r w:rsidRPr="00BA4893">
        <w:rPr>
          <w:lang w:val="en-IE"/>
        </w:rPr>
        <w:t xml:space="preserve"> at the next available </w:t>
      </w:r>
      <w:r w:rsidR="002977D5">
        <w:rPr>
          <w:lang w:val="en-IE"/>
        </w:rPr>
        <w:t xml:space="preserve">CEOS SEC </w:t>
      </w:r>
      <w:r w:rsidRPr="00BA4893">
        <w:rPr>
          <w:lang w:val="en-IE"/>
        </w:rPr>
        <w:t>tel</w:t>
      </w:r>
      <w:r w:rsidR="00433108">
        <w:rPr>
          <w:lang w:val="en-IE"/>
        </w:rPr>
        <w:t>e</w:t>
      </w:r>
      <w:r w:rsidRPr="00BA4893">
        <w:rPr>
          <w:lang w:val="en-IE"/>
        </w:rPr>
        <w:t>conference</w:t>
      </w:r>
      <w:r w:rsidR="00083D0F" w:rsidRPr="00BA4893">
        <w:rPr>
          <w:lang w:val="en-IE"/>
        </w:rPr>
        <w:t xml:space="preserve">. </w:t>
      </w:r>
    </w:p>
    <w:p w14:paraId="16750035" w14:textId="77777777" w:rsidR="00BA4893" w:rsidRDefault="00BA4893" w:rsidP="00BA4893">
      <w:pPr>
        <w:rPr>
          <w:lang w:val="en-CA"/>
        </w:rPr>
      </w:pPr>
    </w:p>
    <w:p w14:paraId="6F010DA2" w14:textId="77777777" w:rsidR="00BA4893" w:rsidRPr="00BA4893" w:rsidRDefault="00BA4893" w:rsidP="00BA4893">
      <w:pPr>
        <w:ind w:left="720"/>
        <w:rPr>
          <w:lang w:val="en-CA"/>
        </w:rPr>
      </w:pPr>
    </w:p>
    <w:p w14:paraId="0FA49846" w14:textId="4206E52E" w:rsidR="007D2B78" w:rsidRPr="00083D0F" w:rsidRDefault="00083D0F" w:rsidP="00D8104D">
      <w:pPr>
        <w:numPr>
          <w:ilvl w:val="0"/>
          <w:numId w:val="2"/>
        </w:numPr>
        <w:rPr>
          <w:lang w:val="en-CA"/>
        </w:rPr>
      </w:pPr>
      <w:r>
        <w:rPr>
          <w:lang w:val="en-IE"/>
        </w:rPr>
        <w:t xml:space="preserve">In parallel, the Observatory is announced within the DRM community by the ROOT </w:t>
      </w:r>
      <w:r w:rsidR="00BA4893">
        <w:rPr>
          <w:lang w:val="en-IE"/>
        </w:rPr>
        <w:t>DRM stakeholders that are participating,</w:t>
      </w:r>
      <w:r>
        <w:rPr>
          <w:lang w:val="en-IE"/>
        </w:rPr>
        <w:t xml:space="preserve"> with a call </w:t>
      </w:r>
      <w:r w:rsidR="00105F38">
        <w:rPr>
          <w:lang w:val="en-IE"/>
        </w:rPr>
        <w:t xml:space="preserve">for others </w:t>
      </w:r>
      <w:r>
        <w:rPr>
          <w:lang w:val="en-IE"/>
        </w:rPr>
        <w:t>to join.</w:t>
      </w:r>
    </w:p>
    <w:p w14:paraId="0E1B8678" w14:textId="77777777" w:rsidR="00083D0F" w:rsidRPr="00D8104D" w:rsidRDefault="00083D0F" w:rsidP="00083D0F">
      <w:pPr>
        <w:rPr>
          <w:lang w:val="en-CA"/>
        </w:rPr>
      </w:pPr>
    </w:p>
    <w:p w14:paraId="38725C9E" w14:textId="1EDBB3E5" w:rsidR="007D2B78" w:rsidRPr="00083D0F" w:rsidRDefault="007D2B78" w:rsidP="00D8104D">
      <w:pPr>
        <w:numPr>
          <w:ilvl w:val="0"/>
          <w:numId w:val="2"/>
        </w:numPr>
        <w:rPr>
          <w:lang w:val="en-CA"/>
        </w:rPr>
      </w:pPr>
      <w:r w:rsidRPr="00D8104D">
        <w:rPr>
          <w:lang w:val="en-IE"/>
        </w:rPr>
        <w:t xml:space="preserve">The Recovery Observatory Oversight Team generates a </w:t>
      </w:r>
      <w:r w:rsidR="00083D0F">
        <w:rPr>
          <w:lang w:val="en-IE"/>
        </w:rPr>
        <w:t xml:space="preserve">detailed </w:t>
      </w:r>
      <w:r w:rsidRPr="00D8104D">
        <w:rPr>
          <w:lang w:val="en-IE"/>
        </w:rPr>
        <w:t xml:space="preserve">situation report </w:t>
      </w:r>
      <w:r w:rsidR="00083D0F">
        <w:rPr>
          <w:lang w:val="en-IE"/>
        </w:rPr>
        <w:t xml:space="preserve">based on the Summary Event Report </w:t>
      </w:r>
      <w:r w:rsidRPr="00D8104D">
        <w:rPr>
          <w:lang w:val="en-IE"/>
        </w:rPr>
        <w:t xml:space="preserve">and </w:t>
      </w:r>
      <w:r w:rsidR="00083D0F">
        <w:rPr>
          <w:lang w:val="en-IE"/>
        </w:rPr>
        <w:t xml:space="preserve">adopts a data </w:t>
      </w:r>
      <w:r w:rsidRPr="00D8104D">
        <w:rPr>
          <w:lang w:val="en-IE"/>
        </w:rPr>
        <w:t>acquisitio</w:t>
      </w:r>
      <w:r w:rsidR="00083D0F">
        <w:rPr>
          <w:lang w:val="en-IE"/>
        </w:rPr>
        <w:t>n strategy and preliminary list of data products</w:t>
      </w:r>
      <w:r w:rsidRPr="00D8104D">
        <w:rPr>
          <w:lang w:val="en-IE"/>
        </w:rPr>
        <w:t>.</w:t>
      </w:r>
      <w:r w:rsidR="00105F38">
        <w:rPr>
          <w:lang w:val="en-IE"/>
        </w:rPr>
        <w:t xml:space="preserve"> These documents are approved by a ROOT telcon to be called urgently by the ROOT Chair.</w:t>
      </w:r>
      <w:r w:rsidR="00917ABE">
        <w:rPr>
          <w:lang w:val="en-IE"/>
        </w:rPr>
        <w:t xml:space="preserve"> The ROOT prepares a Recovery Observatory Operations Plan which is shared with the WG Disasters and CEOS and SIT Chairs.</w:t>
      </w:r>
    </w:p>
    <w:p w14:paraId="0EBB040A" w14:textId="77777777" w:rsidR="00083D0F" w:rsidRPr="00D8104D" w:rsidRDefault="00083D0F" w:rsidP="00083D0F">
      <w:pPr>
        <w:rPr>
          <w:lang w:val="en-CA"/>
        </w:rPr>
      </w:pPr>
    </w:p>
    <w:p w14:paraId="1657F32A" w14:textId="77777777" w:rsidR="007D2B78" w:rsidRPr="00105F38" w:rsidRDefault="007D2B78" w:rsidP="00D8104D">
      <w:pPr>
        <w:numPr>
          <w:ilvl w:val="0"/>
          <w:numId w:val="2"/>
        </w:numPr>
        <w:rPr>
          <w:lang w:val="en-CA"/>
        </w:rPr>
      </w:pPr>
      <w:r w:rsidRPr="00D8104D">
        <w:rPr>
          <w:lang w:val="en-IE"/>
        </w:rPr>
        <w:t>The Observatory is announced publicly with DRM partners.</w:t>
      </w:r>
    </w:p>
    <w:p w14:paraId="12B52597" w14:textId="77777777" w:rsidR="00105F38" w:rsidRDefault="00105F38" w:rsidP="00105F38">
      <w:pPr>
        <w:rPr>
          <w:lang w:val="en-CA"/>
        </w:rPr>
      </w:pPr>
    </w:p>
    <w:p w14:paraId="74A5AB9A" w14:textId="7CEBB66E" w:rsidR="00105F38" w:rsidRPr="00D8104D" w:rsidRDefault="00105F38" w:rsidP="00D8104D">
      <w:pPr>
        <w:numPr>
          <w:ilvl w:val="0"/>
          <w:numId w:val="2"/>
        </w:numPr>
        <w:rPr>
          <w:lang w:val="en-CA"/>
        </w:rPr>
      </w:pPr>
      <w:r>
        <w:rPr>
          <w:lang w:val="en-IE"/>
        </w:rPr>
        <w:t xml:space="preserve">The </w:t>
      </w:r>
      <w:r w:rsidR="002977D5">
        <w:rPr>
          <w:lang w:val="en-IE"/>
        </w:rPr>
        <w:t xml:space="preserve">status </w:t>
      </w:r>
      <w:r w:rsidR="00917ABE">
        <w:rPr>
          <w:lang w:val="en-IE"/>
        </w:rPr>
        <w:t xml:space="preserve">of the </w:t>
      </w:r>
      <w:r>
        <w:rPr>
          <w:lang w:val="en-IE"/>
        </w:rPr>
        <w:t xml:space="preserve">Observatory is reviewed by the next SIT meeting or Plenary of CEOS. </w:t>
      </w:r>
      <w:r w:rsidR="00917ABE">
        <w:rPr>
          <w:lang w:val="en-IE"/>
        </w:rPr>
        <w:t>The ROOT seeks formal approval from the CEOS</w:t>
      </w:r>
      <w:r>
        <w:rPr>
          <w:lang w:val="en-IE"/>
        </w:rPr>
        <w:t xml:space="preserve"> bodies.</w:t>
      </w:r>
    </w:p>
    <w:p w14:paraId="47185CF6" w14:textId="77777777" w:rsidR="00D8104D" w:rsidRDefault="00D8104D" w:rsidP="00D8104D"/>
    <w:sectPr w:rsidR="00D8104D" w:rsidSect="00376269">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086C4" w14:textId="77777777" w:rsidR="00E06176" w:rsidRDefault="00E06176" w:rsidP="00105F38">
      <w:r>
        <w:separator/>
      </w:r>
    </w:p>
  </w:endnote>
  <w:endnote w:type="continuationSeparator" w:id="0">
    <w:p w14:paraId="133BBABA" w14:textId="77777777" w:rsidR="00E06176" w:rsidRDefault="00E06176" w:rsidP="0010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20F6F" w14:textId="77777777" w:rsidR="00105F38" w:rsidRDefault="00105F38" w:rsidP="00502B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69CA49" w14:textId="77777777" w:rsidR="00105F38" w:rsidRDefault="00105F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30B21" w14:textId="77777777" w:rsidR="00105F38" w:rsidRDefault="00105F38" w:rsidP="00502B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3F30">
      <w:rPr>
        <w:rStyle w:val="PageNumber"/>
        <w:noProof/>
      </w:rPr>
      <w:t>1</w:t>
    </w:r>
    <w:r>
      <w:rPr>
        <w:rStyle w:val="PageNumber"/>
      </w:rPr>
      <w:fldChar w:fldCharType="end"/>
    </w:r>
  </w:p>
  <w:p w14:paraId="3141A350" w14:textId="77777777" w:rsidR="00105F38" w:rsidRDefault="00105F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69A99" w14:textId="77777777" w:rsidR="00E06176" w:rsidRDefault="00E06176" w:rsidP="00105F38">
      <w:r>
        <w:separator/>
      </w:r>
    </w:p>
  </w:footnote>
  <w:footnote w:type="continuationSeparator" w:id="0">
    <w:p w14:paraId="22612B73" w14:textId="77777777" w:rsidR="00E06176" w:rsidRDefault="00E06176" w:rsidP="00105F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CE5"/>
    <w:multiLevelType w:val="hybridMultilevel"/>
    <w:tmpl w:val="7B4237F6"/>
    <w:lvl w:ilvl="0" w:tplc="2C540CDC">
      <w:start w:val="1"/>
      <w:numFmt w:val="decimal"/>
      <w:lvlText w:val="%1."/>
      <w:lvlJc w:val="left"/>
      <w:pPr>
        <w:tabs>
          <w:tab w:val="num" w:pos="720"/>
        </w:tabs>
        <w:ind w:left="720" w:hanging="360"/>
      </w:pPr>
    </w:lvl>
    <w:lvl w:ilvl="1" w:tplc="D2CA1E3A">
      <w:start w:val="1"/>
      <w:numFmt w:val="decimal"/>
      <w:lvlText w:val="%2."/>
      <w:lvlJc w:val="left"/>
      <w:pPr>
        <w:tabs>
          <w:tab w:val="num" w:pos="1440"/>
        </w:tabs>
        <w:ind w:left="1440" w:hanging="360"/>
      </w:pPr>
    </w:lvl>
    <w:lvl w:ilvl="2" w:tplc="1F58DD80" w:tentative="1">
      <w:start w:val="1"/>
      <w:numFmt w:val="decimal"/>
      <w:lvlText w:val="%3."/>
      <w:lvlJc w:val="left"/>
      <w:pPr>
        <w:tabs>
          <w:tab w:val="num" w:pos="2160"/>
        </w:tabs>
        <w:ind w:left="2160" w:hanging="360"/>
      </w:pPr>
    </w:lvl>
    <w:lvl w:ilvl="3" w:tplc="23B683DE" w:tentative="1">
      <w:start w:val="1"/>
      <w:numFmt w:val="decimal"/>
      <w:lvlText w:val="%4."/>
      <w:lvlJc w:val="left"/>
      <w:pPr>
        <w:tabs>
          <w:tab w:val="num" w:pos="2880"/>
        </w:tabs>
        <w:ind w:left="2880" w:hanging="360"/>
      </w:pPr>
    </w:lvl>
    <w:lvl w:ilvl="4" w:tplc="6452380E" w:tentative="1">
      <w:start w:val="1"/>
      <w:numFmt w:val="decimal"/>
      <w:lvlText w:val="%5."/>
      <w:lvlJc w:val="left"/>
      <w:pPr>
        <w:tabs>
          <w:tab w:val="num" w:pos="3600"/>
        </w:tabs>
        <w:ind w:left="3600" w:hanging="360"/>
      </w:pPr>
    </w:lvl>
    <w:lvl w:ilvl="5" w:tplc="EF4CF352" w:tentative="1">
      <w:start w:val="1"/>
      <w:numFmt w:val="decimal"/>
      <w:lvlText w:val="%6."/>
      <w:lvlJc w:val="left"/>
      <w:pPr>
        <w:tabs>
          <w:tab w:val="num" w:pos="4320"/>
        </w:tabs>
        <w:ind w:left="4320" w:hanging="360"/>
      </w:pPr>
    </w:lvl>
    <w:lvl w:ilvl="6" w:tplc="155E0FA8" w:tentative="1">
      <w:start w:val="1"/>
      <w:numFmt w:val="decimal"/>
      <w:lvlText w:val="%7."/>
      <w:lvlJc w:val="left"/>
      <w:pPr>
        <w:tabs>
          <w:tab w:val="num" w:pos="5040"/>
        </w:tabs>
        <w:ind w:left="5040" w:hanging="360"/>
      </w:pPr>
    </w:lvl>
    <w:lvl w:ilvl="7" w:tplc="E6B679F4" w:tentative="1">
      <w:start w:val="1"/>
      <w:numFmt w:val="decimal"/>
      <w:lvlText w:val="%8."/>
      <w:lvlJc w:val="left"/>
      <w:pPr>
        <w:tabs>
          <w:tab w:val="num" w:pos="5760"/>
        </w:tabs>
        <w:ind w:left="5760" w:hanging="360"/>
      </w:pPr>
    </w:lvl>
    <w:lvl w:ilvl="8" w:tplc="EE8AD004" w:tentative="1">
      <w:start w:val="1"/>
      <w:numFmt w:val="decimal"/>
      <w:lvlText w:val="%9."/>
      <w:lvlJc w:val="left"/>
      <w:pPr>
        <w:tabs>
          <w:tab w:val="num" w:pos="6480"/>
        </w:tabs>
        <w:ind w:left="6480" w:hanging="360"/>
      </w:pPr>
    </w:lvl>
  </w:abstractNum>
  <w:abstractNum w:abstractNumId="1">
    <w:nsid w:val="1BE902C1"/>
    <w:multiLevelType w:val="hybridMultilevel"/>
    <w:tmpl w:val="849602AA"/>
    <w:lvl w:ilvl="0" w:tplc="9E54A0EA">
      <w:start w:val="4"/>
      <w:numFmt w:val="decimal"/>
      <w:lvlText w:val="%1."/>
      <w:lvlJc w:val="left"/>
      <w:pPr>
        <w:tabs>
          <w:tab w:val="num" w:pos="720"/>
        </w:tabs>
        <w:ind w:left="720" w:hanging="360"/>
      </w:pPr>
    </w:lvl>
    <w:lvl w:ilvl="1" w:tplc="9E802F12" w:tentative="1">
      <w:start w:val="1"/>
      <w:numFmt w:val="decimal"/>
      <w:lvlText w:val="%2."/>
      <w:lvlJc w:val="left"/>
      <w:pPr>
        <w:tabs>
          <w:tab w:val="num" w:pos="1440"/>
        </w:tabs>
        <w:ind w:left="1440" w:hanging="360"/>
      </w:pPr>
    </w:lvl>
    <w:lvl w:ilvl="2" w:tplc="4BE05D68" w:tentative="1">
      <w:start w:val="1"/>
      <w:numFmt w:val="decimal"/>
      <w:lvlText w:val="%3."/>
      <w:lvlJc w:val="left"/>
      <w:pPr>
        <w:tabs>
          <w:tab w:val="num" w:pos="2160"/>
        </w:tabs>
        <w:ind w:left="2160" w:hanging="360"/>
      </w:pPr>
    </w:lvl>
    <w:lvl w:ilvl="3" w:tplc="B648719E" w:tentative="1">
      <w:start w:val="1"/>
      <w:numFmt w:val="decimal"/>
      <w:lvlText w:val="%4."/>
      <w:lvlJc w:val="left"/>
      <w:pPr>
        <w:tabs>
          <w:tab w:val="num" w:pos="2880"/>
        </w:tabs>
        <w:ind w:left="2880" w:hanging="360"/>
      </w:pPr>
    </w:lvl>
    <w:lvl w:ilvl="4" w:tplc="1F1E107C" w:tentative="1">
      <w:start w:val="1"/>
      <w:numFmt w:val="decimal"/>
      <w:lvlText w:val="%5."/>
      <w:lvlJc w:val="left"/>
      <w:pPr>
        <w:tabs>
          <w:tab w:val="num" w:pos="3600"/>
        </w:tabs>
        <w:ind w:left="3600" w:hanging="360"/>
      </w:pPr>
    </w:lvl>
    <w:lvl w:ilvl="5" w:tplc="B20262DA" w:tentative="1">
      <w:start w:val="1"/>
      <w:numFmt w:val="decimal"/>
      <w:lvlText w:val="%6."/>
      <w:lvlJc w:val="left"/>
      <w:pPr>
        <w:tabs>
          <w:tab w:val="num" w:pos="4320"/>
        </w:tabs>
        <w:ind w:left="4320" w:hanging="360"/>
      </w:pPr>
    </w:lvl>
    <w:lvl w:ilvl="6" w:tplc="D2627E0A" w:tentative="1">
      <w:start w:val="1"/>
      <w:numFmt w:val="decimal"/>
      <w:lvlText w:val="%7."/>
      <w:lvlJc w:val="left"/>
      <w:pPr>
        <w:tabs>
          <w:tab w:val="num" w:pos="5040"/>
        </w:tabs>
        <w:ind w:left="5040" w:hanging="360"/>
      </w:pPr>
    </w:lvl>
    <w:lvl w:ilvl="7" w:tplc="C324B194" w:tentative="1">
      <w:start w:val="1"/>
      <w:numFmt w:val="decimal"/>
      <w:lvlText w:val="%8."/>
      <w:lvlJc w:val="left"/>
      <w:pPr>
        <w:tabs>
          <w:tab w:val="num" w:pos="5760"/>
        </w:tabs>
        <w:ind w:left="5760" w:hanging="360"/>
      </w:pPr>
    </w:lvl>
    <w:lvl w:ilvl="8" w:tplc="0472DEA2" w:tentative="1">
      <w:start w:val="1"/>
      <w:numFmt w:val="decimal"/>
      <w:lvlText w:val="%9."/>
      <w:lvlJc w:val="left"/>
      <w:pPr>
        <w:tabs>
          <w:tab w:val="num" w:pos="6480"/>
        </w:tabs>
        <w:ind w:left="6480" w:hanging="360"/>
      </w:pPr>
    </w:lvl>
  </w:abstractNum>
  <w:abstractNum w:abstractNumId="2">
    <w:nsid w:val="205638A1"/>
    <w:multiLevelType w:val="hybridMultilevel"/>
    <w:tmpl w:val="6B681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BE1D0D"/>
    <w:multiLevelType w:val="hybridMultilevel"/>
    <w:tmpl w:val="4F583400"/>
    <w:lvl w:ilvl="0" w:tplc="08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4D"/>
    <w:rsid w:val="00083D0F"/>
    <w:rsid w:val="000C5B39"/>
    <w:rsid w:val="00105F38"/>
    <w:rsid w:val="002977D5"/>
    <w:rsid w:val="002C2A6F"/>
    <w:rsid w:val="00313DB0"/>
    <w:rsid w:val="00376269"/>
    <w:rsid w:val="00433108"/>
    <w:rsid w:val="007D2B78"/>
    <w:rsid w:val="00917ABE"/>
    <w:rsid w:val="00972C47"/>
    <w:rsid w:val="00997351"/>
    <w:rsid w:val="00AA469E"/>
    <w:rsid w:val="00B006DC"/>
    <w:rsid w:val="00BA4893"/>
    <w:rsid w:val="00BC56C4"/>
    <w:rsid w:val="00D8104D"/>
    <w:rsid w:val="00DF3F30"/>
    <w:rsid w:val="00E06176"/>
    <w:rsid w:val="00E3434A"/>
    <w:rsid w:val="00E94041"/>
    <w:rsid w:val="00F71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753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04D"/>
    <w:pPr>
      <w:ind w:left="720"/>
      <w:contextualSpacing/>
    </w:pPr>
    <w:rPr>
      <w:rFonts w:ascii="Times" w:hAnsi="Times"/>
      <w:sz w:val="20"/>
      <w:szCs w:val="20"/>
      <w:lang w:val="en-CA"/>
    </w:rPr>
  </w:style>
  <w:style w:type="paragraph" w:styleId="Footer">
    <w:name w:val="footer"/>
    <w:basedOn w:val="Normal"/>
    <w:link w:val="FooterChar"/>
    <w:uiPriority w:val="99"/>
    <w:unhideWhenUsed/>
    <w:rsid w:val="00105F38"/>
    <w:pPr>
      <w:tabs>
        <w:tab w:val="center" w:pos="4320"/>
        <w:tab w:val="right" w:pos="8640"/>
      </w:tabs>
    </w:pPr>
  </w:style>
  <w:style w:type="character" w:customStyle="1" w:styleId="FooterChar">
    <w:name w:val="Footer Char"/>
    <w:basedOn w:val="DefaultParagraphFont"/>
    <w:link w:val="Footer"/>
    <w:uiPriority w:val="99"/>
    <w:rsid w:val="00105F38"/>
  </w:style>
  <w:style w:type="character" w:styleId="PageNumber">
    <w:name w:val="page number"/>
    <w:basedOn w:val="DefaultParagraphFont"/>
    <w:uiPriority w:val="99"/>
    <w:semiHidden/>
    <w:unhideWhenUsed/>
    <w:rsid w:val="00105F38"/>
  </w:style>
  <w:style w:type="character" w:styleId="CommentReference">
    <w:name w:val="annotation reference"/>
    <w:basedOn w:val="DefaultParagraphFont"/>
    <w:uiPriority w:val="99"/>
    <w:semiHidden/>
    <w:unhideWhenUsed/>
    <w:rsid w:val="00313DB0"/>
    <w:rPr>
      <w:sz w:val="16"/>
      <w:szCs w:val="16"/>
    </w:rPr>
  </w:style>
  <w:style w:type="paragraph" w:styleId="CommentText">
    <w:name w:val="annotation text"/>
    <w:basedOn w:val="Normal"/>
    <w:link w:val="CommentTextChar"/>
    <w:uiPriority w:val="99"/>
    <w:semiHidden/>
    <w:unhideWhenUsed/>
    <w:rsid w:val="00313DB0"/>
    <w:rPr>
      <w:sz w:val="20"/>
      <w:szCs w:val="20"/>
    </w:rPr>
  </w:style>
  <w:style w:type="character" w:customStyle="1" w:styleId="CommentTextChar">
    <w:name w:val="Comment Text Char"/>
    <w:basedOn w:val="DefaultParagraphFont"/>
    <w:link w:val="CommentText"/>
    <w:uiPriority w:val="99"/>
    <w:semiHidden/>
    <w:rsid w:val="00313DB0"/>
    <w:rPr>
      <w:sz w:val="20"/>
      <w:szCs w:val="20"/>
    </w:rPr>
  </w:style>
  <w:style w:type="paragraph" w:styleId="CommentSubject">
    <w:name w:val="annotation subject"/>
    <w:basedOn w:val="CommentText"/>
    <w:next w:val="CommentText"/>
    <w:link w:val="CommentSubjectChar"/>
    <w:uiPriority w:val="99"/>
    <w:semiHidden/>
    <w:unhideWhenUsed/>
    <w:rsid w:val="00313DB0"/>
    <w:rPr>
      <w:b/>
      <w:bCs/>
    </w:rPr>
  </w:style>
  <w:style w:type="character" w:customStyle="1" w:styleId="CommentSubjectChar">
    <w:name w:val="Comment Subject Char"/>
    <w:basedOn w:val="CommentTextChar"/>
    <w:link w:val="CommentSubject"/>
    <w:uiPriority w:val="99"/>
    <w:semiHidden/>
    <w:rsid w:val="00313DB0"/>
    <w:rPr>
      <w:b/>
      <w:bCs/>
      <w:sz w:val="20"/>
      <w:szCs w:val="20"/>
    </w:rPr>
  </w:style>
  <w:style w:type="paragraph" w:styleId="BalloonText">
    <w:name w:val="Balloon Text"/>
    <w:basedOn w:val="Normal"/>
    <w:link w:val="BalloonTextChar"/>
    <w:uiPriority w:val="99"/>
    <w:semiHidden/>
    <w:unhideWhenUsed/>
    <w:rsid w:val="00313DB0"/>
    <w:rPr>
      <w:rFonts w:ascii="Tahoma" w:hAnsi="Tahoma" w:cs="Tahoma"/>
      <w:sz w:val="16"/>
      <w:szCs w:val="16"/>
    </w:rPr>
  </w:style>
  <w:style w:type="character" w:customStyle="1" w:styleId="BalloonTextChar">
    <w:name w:val="Balloon Text Char"/>
    <w:basedOn w:val="DefaultParagraphFont"/>
    <w:link w:val="BalloonText"/>
    <w:uiPriority w:val="99"/>
    <w:semiHidden/>
    <w:rsid w:val="00313DB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04D"/>
    <w:pPr>
      <w:ind w:left="720"/>
      <w:contextualSpacing/>
    </w:pPr>
    <w:rPr>
      <w:rFonts w:ascii="Times" w:hAnsi="Times"/>
      <w:sz w:val="20"/>
      <w:szCs w:val="20"/>
      <w:lang w:val="en-CA"/>
    </w:rPr>
  </w:style>
  <w:style w:type="paragraph" w:styleId="Footer">
    <w:name w:val="footer"/>
    <w:basedOn w:val="Normal"/>
    <w:link w:val="FooterChar"/>
    <w:uiPriority w:val="99"/>
    <w:unhideWhenUsed/>
    <w:rsid w:val="00105F38"/>
    <w:pPr>
      <w:tabs>
        <w:tab w:val="center" w:pos="4320"/>
        <w:tab w:val="right" w:pos="8640"/>
      </w:tabs>
    </w:pPr>
  </w:style>
  <w:style w:type="character" w:customStyle="1" w:styleId="FooterChar">
    <w:name w:val="Footer Char"/>
    <w:basedOn w:val="DefaultParagraphFont"/>
    <w:link w:val="Footer"/>
    <w:uiPriority w:val="99"/>
    <w:rsid w:val="00105F38"/>
  </w:style>
  <w:style w:type="character" w:styleId="PageNumber">
    <w:name w:val="page number"/>
    <w:basedOn w:val="DefaultParagraphFont"/>
    <w:uiPriority w:val="99"/>
    <w:semiHidden/>
    <w:unhideWhenUsed/>
    <w:rsid w:val="00105F38"/>
  </w:style>
  <w:style w:type="character" w:styleId="CommentReference">
    <w:name w:val="annotation reference"/>
    <w:basedOn w:val="DefaultParagraphFont"/>
    <w:uiPriority w:val="99"/>
    <w:semiHidden/>
    <w:unhideWhenUsed/>
    <w:rsid w:val="00313DB0"/>
    <w:rPr>
      <w:sz w:val="16"/>
      <w:szCs w:val="16"/>
    </w:rPr>
  </w:style>
  <w:style w:type="paragraph" w:styleId="CommentText">
    <w:name w:val="annotation text"/>
    <w:basedOn w:val="Normal"/>
    <w:link w:val="CommentTextChar"/>
    <w:uiPriority w:val="99"/>
    <w:semiHidden/>
    <w:unhideWhenUsed/>
    <w:rsid w:val="00313DB0"/>
    <w:rPr>
      <w:sz w:val="20"/>
      <w:szCs w:val="20"/>
    </w:rPr>
  </w:style>
  <w:style w:type="character" w:customStyle="1" w:styleId="CommentTextChar">
    <w:name w:val="Comment Text Char"/>
    <w:basedOn w:val="DefaultParagraphFont"/>
    <w:link w:val="CommentText"/>
    <w:uiPriority w:val="99"/>
    <w:semiHidden/>
    <w:rsid w:val="00313DB0"/>
    <w:rPr>
      <w:sz w:val="20"/>
      <w:szCs w:val="20"/>
    </w:rPr>
  </w:style>
  <w:style w:type="paragraph" w:styleId="CommentSubject">
    <w:name w:val="annotation subject"/>
    <w:basedOn w:val="CommentText"/>
    <w:next w:val="CommentText"/>
    <w:link w:val="CommentSubjectChar"/>
    <w:uiPriority w:val="99"/>
    <w:semiHidden/>
    <w:unhideWhenUsed/>
    <w:rsid w:val="00313DB0"/>
    <w:rPr>
      <w:b/>
      <w:bCs/>
    </w:rPr>
  </w:style>
  <w:style w:type="character" w:customStyle="1" w:styleId="CommentSubjectChar">
    <w:name w:val="Comment Subject Char"/>
    <w:basedOn w:val="CommentTextChar"/>
    <w:link w:val="CommentSubject"/>
    <w:uiPriority w:val="99"/>
    <w:semiHidden/>
    <w:rsid w:val="00313DB0"/>
    <w:rPr>
      <w:b/>
      <w:bCs/>
      <w:sz w:val="20"/>
      <w:szCs w:val="20"/>
    </w:rPr>
  </w:style>
  <w:style w:type="paragraph" w:styleId="BalloonText">
    <w:name w:val="Balloon Text"/>
    <w:basedOn w:val="Normal"/>
    <w:link w:val="BalloonTextChar"/>
    <w:uiPriority w:val="99"/>
    <w:semiHidden/>
    <w:unhideWhenUsed/>
    <w:rsid w:val="00313DB0"/>
    <w:rPr>
      <w:rFonts w:ascii="Tahoma" w:hAnsi="Tahoma" w:cs="Tahoma"/>
      <w:sz w:val="16"/>
      <w:szCs w:val="16"/>
    </w:rPr>
  </w:style>
  <w:style w:type="character" w:customStyle="1" w:styleId="BalloonTextChar">
    <w:name w:val="Balloon Text Char"/>
    <w:basedOn w:val="DefaultParagraphFont"/>
    <w:link w:val="BalloonText"/>
    <w:uiPriority w:val="99"/>
    <w:semiHidden/>
    <w:rsid w:val="00313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12573">
      <w:bodyDiv w:val="1"/>
      <w:marLeft w:val="0"/>
      <w:marRight w:val="0"/>
      <w:marTop w:val="0"/>
      <w:marBottom w:val="0"/>
      <w:divBdr>
        <w:top w:val="none" w:sz="0" w:space="0" w:color="auto"/>
        <w:left w:val="none" w:sz="0" w:space="0" w:color="auto"/>
        <w:bottom w:val="none" w:sz="0" w:space="0" w:color="auto"/>
        <w:right w:val="none" w:sz="0" w:space="0" w:color="auto"/>
      </w:divBdr>
      <w:divsChild>
        <w:div w:id="1701322118">
          <w:marLeft w:val="720"/>
          <w:marRight w:val="0"/>
          <w:marTop w:val="0"/>
          <w:marBottom w:val="0"/>
          <w:divBdr>
            <w:top w:val="none" w:sz="0" w:space="0" w:color="auto"/>
            <w:left w:val="none" w:sz="0" w:space="0" w:color="auto"/>
            <w:bottom w:val="none" w:sz="0" w:space="0" w:color="auto"/>
            <w:right w:val="none" w:sz="0" w:space="0" w:color="auto"/>
          </w:divBdr>
        </w:div>
        <w:div w:id="149955089">
          <w:marLeft w:val="720"/>
          <w:marRight w:val="0"/>
          <w:marTop w:val="0"/>
          <w:marBottom w:val="0"/>
          <w:divBdr>
            <w:top w:val="none" w:sz="0" w:space="0" w:color="auto"/>
            <w:left w:val="none" w:sz="0" w:space="0" w:color="auto"/>
            <w:bottom w:val="none" w:sz="0" w:space="0" w:color="auto"/>
            <w:right w:val="none" w:sz="0" w:space="0" w:color="auto"/>
          </w:divBdr>
        </w:div>
        <w:div w:id="229775151">
          <w:marLeft w:val="720"/>
          <w:marRight w:val="0"/>
          <w:marTop w:val="0"/>
          <w:marBottom w:val="0"/>
          <w:divBdr>
            <w:top w:val="none" w:sz="0" w:space="0" w:color="auto"/>
            <w:left w:val="none" w:sz="0" w:space="0" w:color="auto"/>
            <w:bottom w:val="none" w:sz="0" w:space="0" w:color="auto"/>
            <w:right w:val="none" w:sz="0" w:space="0" w:color="auto"/>
          </w:divBdr>
        </w:div>
      </w:divsChild>
    </w:div>
    <w:div w:id="2073040411">
      <w:bodyDiv w:val="1"/>
      <w:marLeft w:val="0"/>
      <w:marRight w:val="0"/>
      <w:marTop w:val="0"/>
      <w:marBottom w:val="0"/>
      <w:divBdr>
        <w:top w:val="none" w:sz="0" w:space="0" w:color="auto"/>
        <w:left w:val="none" w:sz="0" w:space="0" w:color="auto"/>
        <w:bottom w:val="none" w:sz="0" w:space="0" w:color="auto"/>
        <w:right w:val="none" w:sz="0" w:space="0" w:color="auto"/>
      </w:divBdr>
      <w:divsChild>
        <w:div w:id="1401706086">
          <w:marLeft w:val="720"/>
          <w:marRight w:val="0"/>
          <w:marTop w:val="0"/>
          <w:marBottom w:val="0"/>
          <w:divBdr>
            <w:top w:val="none" w:sz="0" w:space="0" w:color="auto"/>
            <w:left w:val="none" w:sz="0" w:space="0" w:color="auto"/>
            <w:bottom w:val="none" w:sz="0" w:space="0" w:color="auto"/>
            <w:right w:val="none" w:sz="0" w:space="0" w:color="auto"/>
          </w:divBdr>
        </w:div>
        <w:div w:id="909385948">
          <w:marLeft w:val="720"/>
          <w:marRight w:val="0"/>
          <w:marTop w:val="0"/>
          <w:marBottom w:val="0"/>
          <w:divBdr>
            <w:top w:val="none" w:sz="0" w:space="0" w:color="auto"/>
            <w:left w:val="none" w:sz="0" w:space="0" w:color="auto"/>
            <w:bottom w:val="none" w:sz="0" w:space="0" w:color="auto"/>
            <w:right w:val="none" w:sz="0" w:space="0" w:color="auto"/>
          </w:divBdr>
        </w:div>
        <w:div w:id="1560823464">
          <w:marLeft w:val="720"/>
          <w:marRight w:val="0"/>
          <w:marTop w:val="0"/>
          <w:marBottom w:val="0"/>
          <w:divBdr>
            <w:top w:val="none" w:sz="0" w:space="0" w:color="auto"/>
            <w:left w:val="none" w:sz="0" w:space="0" w:color="auto"/>
            <w:bottom w:val="none" w:sz="0" w:space="0" w:color="auto"/>
            <w:right w:val="none" w:sz="0" w:space="0" w:color="auto"/>
          </w:divBdr>
        </w:div>
        <w:div w:id="2041735472">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594</Words>
  <Characters>3392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Athena Global</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Eddy</dc:creator>
  <cp:lastModifiedBy>Andrew Eddy</cp:lastModifiedBy>
  <cp:revision>4</cp:revision>
  <dcterms:created xsi:type="dcterms:W3CDTF">2015-09-03T08:25:00Z</dcterms:created>
  <dcterms:modified xsi:type="dcterms:W3CDTF">2015-09-03T08:39:00Z</dcterms:modified>
</cp:coreProperties>
</file>