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A10B" w14:textId="34B0D398" w:rsidR="00400FCF" w:rsidRPr="00C95D87" w:rsidRDefault="006A7034" w:rsidP="002A1632">
      <w:pPr>
        <w:jc w:val="center"/>
        <w:rPr>
          <w:b/>
        </w:rPr>
      </w:pPr>
      <w:r>
        <w:rPr>
          <w:b/>
        </w:rPr>
        <w:t>CEOS Recovery Observatory</w:t>
      </w:r>
    </w:p>
    <w:p w14:paraId="2417FFAF" w14:textId="12B87DBD" w:rsidR="002A1632" w:rsidRDefault="006A7034" w:rsidP="002A1632">
      <w:pPr>
        <w:jc w:val="center"/>
      </w:pPr>
      <w:proofErr w:type="spellStart"/>
      <w:r>
        <w:t>Semestrial</w:t>
      </w:r>
      <w:proofErr w:type="spellEnd"/>
      <w:r>
        <w:t xml:space="preserve"> Report </w:t>
      </w:r>
      <w:r w:rsidR="008F181E">
        <w:t>Q2/2016-Q3</w:t>
      </w:r>
      <w:r w:rsidR="008D2414">
        <w:t>/2016</w:t>
      </w:r>
    </w:p>
    <w:p w14:paraId="1271C6BF" w14:textId="77777777" w:rsidR="002A1632" w:rsidRDefault="002A1632"/>
    <w:p w14:paraId="31E2437C" w14:textId="77777777" w:rsidR="002A1632" w:rsidRDefault="002A1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921"/>
        <w:gridCol w:w="2548"/>
        <w:gridCol w:w="2720"/>
      </w:tblGrid>
      <w:tr w:rsidR="002A1632" w14:paraId="53E01D91" w14:textId="77777777" w:rsidTr="006A7034">
        <w:tc>
          <w:tcPr>
            <w:tcW w:w="8856" w:type="dxa"/>
            <w:gridSpan w:val="4"/>
          </w:tcPr>
          <w:p w14:paraId="5043CB6E" w14:textId="0231F64E" w:rsidR="002A1632" w:rsidRPr="002A1632" w:rsidRDefault="006A7034">
            <w:pPr>
              <w:rPr>
                <w:b/>
              </w:rPr>
            </w:pPr>
            <w:r>
              <w:rPr>
                <w:b/>
              </w:rPr>
              <w:t>Recovery Observatory – report of the Recovery Observatory Oversight Team (ROOT)</w:t>
            </w:r>
          </w:p>
        </w:tc>
      </w:tr>
      <w:tr w:rsidR="002A1632" w14:paraId="0246333D" w14:textId="77777777" w:rsidTr="002A1632">
        <w:tc>
          <w:tcPr>
            <w:tcW w:w="2952" w:type="dxa"/>
          </w:tcPr>
          <w:p w14:paraId="57DB1F03" w14:textId="4BB1C8EB" w:rsidR="002A1632" w:rsidRDefault="002E12D0">
            <w:r>
              <w:t>September</w:t>
            </w:r>
            <w:r w:rsidR="008D2414">
              <w:t xml:space="preserve"> 2016</w:t>
            </w:r>
          </w:p>
        </w:tc>
        <w:tc>
          <w:tcPr>
            <w:tcW w:w="2952" w:type="dxa"/>
            <w:gridSpan w:val="2"/>
          </w:tcPr>
          <w:p w14:paraId="0C41A00B" w14:textId="26E92CC1" w:rsidR="002A1632" w:rsidRDefault="002E12D0">
            <w:r>
              <w:t xml:space="preserve">Patrice </w:t>
            </w:r>
            <w:proofErr w:type="spellStart"/>
            <w:r>
              <w:t>Benarroche</w:t>
            </w:r>
            <w:proofErr w:type="spellEnd"/>
            <w:r w:rsidR="006A7034">
              <w:t xml:space="preserve">, ROOT </w:t>
            </w:r>
            <w:r>
              <w:t>Co-</w:t>
            </w:r>
            <w:r w:rsidR="006A7034">
              <w:t>Chair (CNES)</w:t>
            </w:r>
            <w:r>
              <w:t xml:space="preserve">, Joe </w:t>
            </w:r>
            <w:proofErr w:type="spellStart"/>
            <w:r>
              <w:t>Leitmann</w:t>
            </w:r>
            <w:proofErr w:type="spellEnd"/>
            <w:r>
              <w:t>, ROOT Co-Chair (GFDRR/WB)</w:t>
            </w:r>
          </w:p>
        </w:tc>
        <w:tc>
          <w:tcPr>
            <w:tcW w:w="2952" w:type="dxa"/>
          </w:tcPr>
          <w:p w14:paraId="2874E87E" w14:textId="77777777" w:rsidR="002A1632" w:rsidRDefault="002A1632">
            <w:r>
              <w:t xml:space="preserve">Collaborating </w:t>
            </w:r>
            <w:r w:rsidR="006A7034">
              <w:t>organizations:</w:t>
            </w:r>
          </w:p>
          <w:p w14:paraId="4CA57354" w14:textId="5A66A76D" w:rsidR="006A7034" w:rsidRDefault="006A7034">
            <w:r>
              <w:t xml:space="preserve">ASI, CNES, DLR, ESA, JAXA, NASA, </w:t>
            </w:r>
            <w:r w:rsidR="008D2414">
              <w:t xml:space="preserve">USGS, </w:t>
            </w:r>
            <w:r>
              <w:t>UNOSAT, UNDP, GFDRR</w:t>
            </w:r>
            <w:r w:rsidR="006B1EC1">
              <w:t>, EC</w:t>
            </w:r>
            <w:r w:rsidR="002E12D0">
              <w:t>, Government of Malawi</w:t>
            </w:r>
          </w:p>
        </w:tc>
      </w:tr>
      <w:tr w:rsidR="002A1632" w14:paraId="7456A4E7" w14:textId="77777777" w:rsidTr="006A7034">
        <w:tc>
          <w:tcPr>
            <w:tcW w:w="8856" w:type="dxa"/>
            <w:gridSpan w:val="4"/>
          </w:tcPr>
          <w:p w14:paraId="5A2856D8" w14:textId="374F3386" w:rsidR="002A1632" w:rsidRDefault="002A1632">
            <w:r w:rsidRPr="002A1632">
              <w:rPr>
                <w:b/>
              </w:rPr>
              <w:t>Achievements:</w:t>
            </w:r>
            <w:r w:rsidR="006A7034">
              <w:t xml:space="preserve"> </w:t>
            </w:r>
          </w:p>
          <w:p w14:paraId="65CA098E" w14:textId="3C8B43A5" w:rsidR="006B1EC1" w:rsidRDefault="002E12D0" w:rsidP="006A7034">
            <w:pPr>
              <w:pStyle w:val="ListParagraph"/>
              <w:numPr>
                <w:ilvl w:val="0"/>
                <w:numId w:val="1"/>
              </w:numPr>
            </w:pPr>
            <w:r>
              <w:t>Collaboration begun with Government of Malawi on “demonstrator”</w:t>
            </w:r>
          </w:p>
          <w:p w14:paraId="45AEDA99" w14:textId="77777777" w:rsidR="002E12D0" w:rsidRDefault="002E12D0" w:rsidP="006A7034">
            <w:pPr>
              <w:pStyle w:val="ListParagraph"/>
              <w:numPr>
                <w:ilvl w:val="0"/>
                <w:numId w:val="1"/>
              </w:numPr>
            </w:pPr>
            <w:r>
              <w:t>Similar activities being planned in Nepal and Syria with WB as end user/partner</w:t>
            </w:r>
          </w:p>
          <w:p w14:paraId="44128BF3" w14:textId="168FB0FD" w:rsidR="002E12D0" w:rsidRDefault="002E12D0" w:rsidP="006A7034">
            <w:pPr>
              <w:pStyle w:val="ListParagraph"/>
              <w:numPr>
                <w:ilvl w:val="0"/>
                <w:numId w:val="1"/>
              </w:numPr>
            </w:pPr>
            <w:r>
              <w:t>Establishment of EO data licensing for disasters sub-group and 2 first meetings; draft license circulated to agencies for comment.</w:t>
            </w:r>
          </w:p>
          <w:p w14:paraId="73B14FFD" w14:textId="77777777" w:rsidR="002A1632" w:rsidRDefault="002A1632" w:rsidP="002E12D0">
            <w:pPr>
              <w:pStyle w:val="ListParagraph"/>
            </w:pPr>
          </w:p>
        </w:tc>
      </w:tr>
      <w:tr w:rsidR="002A1632" w14:paraId="73761A6A" w14:textId="77777777" w:rsidTr="006A7034">
        <w:tc>
          <w:tcPr>
            <w:tcW w:w="8856" w:type="dxa"/>
            <w:gridSpan w:val="4"/>
          </w:tcPr>
          <w:p w14:paraId="3B0125D5" w14:textId="10C9AA51" w:rsidR="002A1632" w:rsidRDefault="002A1632">
            <w:r w:rsidRPr="002A1632">
              <w:rPr>
                <w:b/>
              </w:rPr>
              <w:t>Activities</w:t>
            </w:r>
            <w:r w:rsidR="004B692E">
              <w:rPr>
                <w:b/>
              </w:rPr>
              <w:t xml:space="preserve"> and Status</w:t>
            </w:r>
            <w:r w:rsidR="006A7034">
              <w:t xml:space="preserve">: </w:t>
            </w:r>
          </w:p>
          <w:p w14:paraId="21E56BC8" w14:textId="77777777" w:rsidR="00537F26" w:rsidRPr="004B692E" w:rsidRDefault="00537F26" w:rsidP="002E12D0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Recovery Observatory ready for triggering since 1 January, 2015</w:t>
            </w:r>
          </w:p>
          <w:p w14:paraId="1A5DBC72" w14:textId="77777777" w:rsidR="002E12D0" w:rsidRDefault="002E12D0" w:rsidP="002E12D0">
            <w:pPr>
              <w:pStyle w:val="ListParagraph"/>
              <w:numPr>
                <w:ilvl w:val="0"/>
                <w:numId w:val="2"/>
              </w:numPr>
            </w:pPr>
            <w:r>
              <w:t>Initial data acquisitions begun fall 2016 in Malawi;</w:t>
            </w:r>
          </w:p>
          <w:p w14:paraId="1913344A" w14:textId="23979814" w:rsidR="002E12D0" w:rsidRDefault="002E12D0" w:rsidP="002E12D0">
            <w:pPr>
              <w:pStyle w:val="ListParagraph"/>
              <w:numPr>
                <w:ilvl w:val="0"/>
                <w:numId w:val="2"/>
              </w:numPr>
            </w:pPr>
            <w:r>
              <w:t>Decisions on next steps in Nepal and Syria expected fall 2016;</w:t>
            </w:r>
          </w:p>
          <w:p w14:paraId="0BA05409" w14:textId="77777777" w:rsidR="00537F26" w:rsidRPr="004B692E" w:rsidRDefault="00537F26" w:rsidP="002E12D0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 xml:space="preserve">Triggering of the RO after a major event or as follow-on to demonstration work in Malawi (in 2016); </w:t>
            </w:r>
          </w:p>
          <w:p w14:paraId="20C49551" w14:textId="77777777" w:rsidR="00537F26" w:rsidRPr="004B692E" w:rsidRDefault="00537F26" w:rsidP="002E12D0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Evaluation at RO + 6 months;</w:t>
            </w:r>
          </w:p>
          <w:p w14:paraId="471B0AB2" w14:textId="1261D171" w:rsidR="002A1632" w:rsidRPr="004B692E" w:rsidRDefault="00537F26" w:rsidP="002E12D0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Lessons learned and sustainability strategy after evaluation of 1</w:t>
            </w:r>
            <w:r w:rsidRPr="004B692E">
              <w:rPr>
                <w:vertAlign w:val="superscript"/>
                <w:lang w:val="en-GB"/>
              </w:rPr>
              <w:t>st</w:t>
            </w:r>
            <w:r w:rsidRPr="004B692E">
              <w:rPr>
                <w:lang w:val="en-GB"/>
              </w:rPr>
              <w:t xml:space="preserve"> RO</w:t>
            </w:r>
          </w:p>
        </w:tc>
      </w:tr>
      <w:tr w:rsidR="002A1632" w14:paraId="71840C63" w14:textId="77777777" w:rsidTr="004B692E">
        <w:tc>
          <w:tcPr>
            <w:tcW w:w="4077" w:type="dxa"/>
            <w:gridSpan w:val="2"/>
          </w:tcPr>
          <w:p w14:paraId="14E05251" w14:textId="77777777" w:rsidR="002A1632" w:rsidRPr="002A1632" w:rsidRDefault="002A1632">
            <w:r w:rsidRPr="002A1632">
              <w:rPr>
                <w:b/>
              </w:rPr>
              <w:t>Data accessed this Q</w:t>
            </w:r>
            <w:r w:rsidRPr="002A1632">
              <w:t xml:space="preserve"> (#images /satellite)</w:t>
            </w:r>
          </w:p>
          <w:p w14:paraId="7CC2A000" w14:textId="77777777" w:rsidR="002A1632" w:rsidRPr="002A1632" w:rsidRDefault="002A1632"/>
          <w:p w14:paraId="51811124" w14:textId="1C94210A" w:rsidR="002A1632" w:rsidRPr="002A1632" w:rsidRDefault="002E12D0">
            <w:r>
              <w:t>Half dozen archived Pleiades images over Malawi;</w:t>
            </w:r>
            <w:r w:rsidR="0057494F">
              <w:t xml:space="preserve"> Sentinel-2 data over Malawi</w:t>
            </w:r>
            <w:proofErr w:type="gramStart"/>
            <w:r w:rsidR="0057494F">
              <w:t>;</w:t>
            </w:r>
            <w:proofErr w:type="gramEnd"/>
            <w:r w:rsidR="0057494F">
              <w:t xml:space="preserve"> </w:t>
            </w:r>
            <w:r>
              <w:t>Pleiades image</w:t>
            </w:r>
            <w:r w:rsidR="0057494F">
              <w:t>ry</w:t>
            </w:r>
            <w:r>
              <w:t xml:space="preserve"> over Nepal</w:t>
            </w:r>
            <w:r w:rsidR="0057494F">
              <w:t xml:space="preserve"> also acquired</w:t>
            </w:r>
            <w:r>
              <w:t>.</w:t>
            </w:r>
          </w:p>
          <w:p w14:paraId="5F7B76B5" w14:textId="77777777" w:rsidR="002A1632" w:rsidRPr="002A1632" w:rsidRDefault="002A1632"/>
          <w:p w14:paraId="1E85D56C" w14:textId="77777777" w:rsidR="002A1632" w:rsidRPr="002A1632" w:rsidRDefault="002A1632"/>
        </w:tc>
        <w:tc>
          <w:tcPr>
            <w:tcW w:w="4779" w:type="dxa"/>
            <w:gridSpan w:val="2"/>
          </w:tcPr>
          <w:p w14:paraId="384CC247" w14:textId="77777777" w:rsidR="002A1632" w:rsidRDefault="002A1632" w:rsidP="002A1632">
            <w:r w:rsidRPr="002A1632">
              <w:rPr>
                <w:b/>
              </w:rPr>
              <w:t>Total data accessed to date</w:t>
            </w:r>
            <w:r w:rsidRPr="002A1632">
              <w:t xml:space="preserve"> (#images /satellite)</w:t>
            </w:r>
          </w:p>
          <w:p w14:paraId="73C5F515" w14:textId="77777777" w:rsidR="006A7034" w:rsidRDefault="006A7034" w:rsidP="002A1632"/>
          <w:p w14:paraId="0F5957A5" w14:textId="46629333" w:rsidR="006A7034" w:rsidRPr="002A1632" w:rsidRDefault="002E12D0" w:rsidP="002A1632">
            <w:proofErr w:type="spellStart"/>
            <w:proofErr w:type="gramStart"/>
            <w:r>
              <w:t>ibidem</w:t>
            </w:r>
            <w:proofErr w:type="spellEnd"/>
            <w:proofErr w:type="gramEnd"/>
          </w:p>
        </w:tc>
      </w:tr>
      <w:tr w:rsidR="002A1632" w14:paraId="04F81B60" w14:textId="77777777" w:rsidTr="004B692E">
        <w:tc>
          <w:tcPr>
            <w:tcW w:w="4077" w:type="dxa"/>
            <w:gridSpan w:val="2"/>
          </w:tcPr>
          <w:p w14:paraId="42044B2A" w14:textId="39C451D1" w:rsidR="002A1632" w:rsidRDefault="002A1632">
            <w:r w:rsidRPr="002A1632">
              <w:rPr>
                <w:b/>
              </w:rPr>
              <w:t>Products:</w:t>
            </w:r>
            <w:r w:rsidR="006A7034">
              <w:t xml:space="preserve"> </w:t>
            </w:r>
          </w:p>
          <w:p w14:paraId="71DC1BB0" w14:textId="766254BF" w:rsidR="006A7034" w:rsidRDefault="004B692E" w:rsidP="0057494F">
            <w:r>
              <w:t xml:space="preserve">Sample products </w:t>
            </w:r>
            <w:r w:rsidR="0057494F">
              <w:t>elaborated September 2016 for Malawi</w:t>
            </w:r>
            <w:bookmarkStart w:id="0" w:name="_GoBack"/>
            <w:bookmarkEnd w:id="0"/>
            <w:r w:rsidR="002E12D0">
              <w:t xml:space="preserve"> – change detection showing roadwork; agricultural products</w:t>
            </w:r>
          </w:p>
        </w:tc>
        <w:tc>
          <w:tcPr>
            <w:tcW w:w="1827" w:type="dxa"/>
          </w:tcPr>
          <w:p w14:paraId="03AE3B4A" w14:textId="77777777" w:rsidR="006A7034" w:rsidRDefault="002A1632">
            <w:pPr>
              <w:rPr>
                <w:b/>
              </w:rPr>
            </w:pPr>
            <w:r w:rsidRPr="002A1632">
              <w:rPr>
                <w:b/>
              </w:rPr>
              <w:t>User</w:t>
            </w:r>
          </w:p>
          <w:p w14:paraId="241F142B" w14:textId="2DF54921" w:rsidR="002A1632" w:rsidRDefault="004B692E">
            <w:proofErr w:type="spellStart"/>
            <w:r>
              <w:rPr>
                <w:b/>
              </w:rPr>
              <w:t>DoDMA</w:t>
            </w:r>
            <w:proofErr w:type="spellEnd"/>
            <w:r>
              <w:rPr>
                <w:b/>
              </w:rPr>
              <w:t>/Government of Malawi</w:t>
            </w:r>
            <w:r w:rsidR="002A1632">
              <w:t xml:space="preserve"> </w:t>
            </w:r>
          </w:p>
        </w:tc>
        <w:tc>
          <w:tcPr>
            <w:tcW w:w="2952" w:type="dxa"/>
          </w:tcPr>
          <w:p w14:paraId="360335EE" w14:textId="77777777" w:rsidR="002A1632" w:rsidRDefault="002A1632" w:rsidP="006A7034">
            <w:pPr>
              <w:rPr>
                <w:b/>
              </w:rPr>
            </w:pPr>
            <w:r w:rsidRPr="002A1632">
              <w:rPr>
                <w:b/>
              </w:rPr>
              <w:t xml:space="preserve">User </w:t>
            </w:r>
            <w:r w:rsidR="00072586">
              <w:rPr>
                <w:b/>
              </w:rPr>
              <w:t xml:space="preserve">or practitioner </w:t>
            </w:r>
            <w:r w:rsidRPr="002A1632">
              <w:rPr>
                <w:b/>
              </w:rPr>
              <w:t>endorsement</w:t>
            </w:r>
          </w:p>
          <w:p w14:paraId="57557862" w14:textId="3438B51E" w:rsidR="004B692E" w:rsidRDefault="004B692E" w:rsidP="006A7034">
            <w:r>
              <w:rPr>
                <w:b/>
              </w:rPr>
              <w:t>N/A</w:t>
            </w:r>
          </w:p>
        </w:tc>
      </w:tr>
      <w:tr w:rsidR="002A1632" w14:paraId="6A17EE10" w14:textId="77777777" w:rsidTr="006A7034">
        <w:tc>
          <w:tcPr>
            <w:tcW w:w="8856" w:type="dxa"/>
            <w:gridSpan w:val="4"/>
          </w:tcPr>
          <w:p w14:paraId="1A23CA63" w14:textId="7A2F27FD" w:rsidR="002A1632" w:rsidRDefault="00C333A0" w:rsidP="002E12D0">
            <w:r>
              <w:t xml:space="preserve">Dissemination: </w:t>
            </w:r>
            <w:r w:rsidR="002E12D0">
              <w:t>TBD</w:t>
            </w:r>
          </w:p>
        </w:tc>
      </w:tr>
      <w:tr w:rsidR="002A1632" w14:paraId="2EE59A9C" w14:textId="77777777" w:rsidTr="006A7034">
        <w:tc>
          <w:tcPr>
            <w:tcW w:w="8856" w:type="dxa"/>
            <w:gridSpan w:val="4"/>
          </w:tcPr>
          <w:p w14:paraId="3314BB33" w14:textId="25DBB8DB" w:rsidR="002A1632" w:rsidRPr="006A7034" w:rsidRDefault="002A1632">
            <w:pPr>
              <w:rPr>
                <w:b/>
              </w:rPr>
            </w:pPr>
            <w:r w:rsidRPr="006A7034">
              <w:rPr>
                <w:b/>
              </w:rPr>
              <w:t>List objective milestones and state progress to date (%)</w:t>
            </w:r>
          </w:p>
          <w:p w14:paraId="3D5E4FC5" w14:textId="77777777" w:rsidR="002A1632" w:rsidRDefault="002A1632"/>
          <w:p w14:paraId="098F0BCA" w14:textId="595FB420" w:rsidR="002A1632" w:rsidRDefault="002E12D0">
            <w:r>
              <w:t>Demonstrator activity – 30%</w:t>
            </w:r>
          </w:p>
          <w:p w14:paraId="478E159A" w14:textId="2AB823C6" w:rsidR="002E12D0" w:rsidRDefault="002E12D0">
            <w:r>
              <w:t>Triggering RO – 0%</w:t>
            </w:r>
          </w:p>
          <w:p w14:paraId="754133A0" w14:textId="57EE1AB6" w:rsidR="002E12D0" w:rsidRDefault="002E12D0">
            <w:r>
              <w:t>RO infrastructure set-up – 100%</w:t>
            </w:r>
          </w:p>
          <w:p w14:paraId="64838B83" w14:textId="77777777" w:rsidR="002E12D0" w:rsidRDefault="002E12D0"/>
          <w:p w14:paraId="4FC40AF8" w14:textId="77777777" w:rsidR="002A1632" w:rsidRDefault="002A1632"/>
        </w:tc>
      </w:tr>
      <w:tr w:rsidR="008E4FD1" w14:paraId="1C772428" w14:textId="77777777" w:rsidTr="006A7034">
        <w:tc>
          <w:tcPr>
            <w:tcW w:w="8856" w:type="dxa"/>
            <w:gridSpan w:val="4"/>
          </w:tcPr>
          <w:p w14:paraId="39692B03" w14:textId="334F0299" w:rsidR="008E4FD1" w:rsidRPr="00064C8B" w:rsidRDefault="008E4FD1">
            <w:pPr>
              <w:rPr>
                <w:b/>
              </w:rPr>
            </w:pPr>
            <w:r w:rsidRPr="00064C8B">
              <w:rPr>
                <w:b/>
              </w:rPr>
              <w:lastRenderedPageBreak/>
              <w:t>Issues identified and risk management approach</w:t>
            </w:r>
          </w:p>
          <w:p w14:paraId="12A3F1DA" w14:textId="070774A5" w:rsidR="008E4FD1" w:rsidRDefault="002E12D0" w:rsidP="00E0184F">
            <w:pPr>
              <w:pStyle w:val="ListParagraph"/>
              <w:numPr>
                <w:ilvl w:val="0"/>
                <w:numId w:val="3"/>
              </w:numPr>
            </w:pPr>
            <w:r>
              <w:t>RO v</w:t>
            </w:r>
            <w:r w:rsidR="00E0184F">
              <w:t>alue adding contributions will be critical and will require some fund</w:t>
            </w:r>
            <w:r w:rsidR="005D2CB6">
              <w:t xml:space="preserve">ing still to be identified </w:t>
            </w:r>
            <w:r w:rsidR="00E0184F">
              <w:t xml:space="preserve">either </w:t>
            </w:r>
            <w:r w:rsidR="005D2CB6">
              <w:t xml:space="preserve">from </w:t>
            </w:r>
            <w:r w:rsidR="00E0184F">
              <w:t xml:space="preserve">stakeholders, satellite agencies or other supporters of RO. ROOT secretariat has begun informal discussions with potential contributors. Further discussions </w:t>
            </w:r>
            <w:r w:rsidR="005D2CB6">
              <w:t>necessary</w:t>
            </w:r>
            <w:r w:rsidR="00E0184F">
              <w:t>.</w:t>
            </w:r>
          </w:p>
          <w:p w14:paraId="78B8C653" w14:textId="77777777" w:rsidR="00E0184F" w:rsidRDefault="00E0184F" w:rsidP="00E0184F">
            <w:pPr>
              <w:pStyle w:val="ListParagraph"/>
            </w:pPr>
          </w:p>
          <w:p w14:paraId="32042E1B" w14:textId="05538F7B" w:rsidR="008E4FD1" w:rsidRDefault="00E0184F" w:rsidP="00C333A0">
            <w:pPr>
              <w:pStyle w:val="ListParagraph"/>
              <w:numPr>
                <w:ilvl w:val="0"/>
                <w:numId w:val="3"/>
              </w:numPr>
            </w:pPr>
            <w:r>
              <w:t>Data licensing harmonization remains an issue but not a showstopper.</w:t>
            </w:r>
          </w:p>
          <w:p w14:paraId="6A1AF6F2" w14:textId="77777777" w:rsidR="004B692E" w:rsidRDefault="004B692E" w:rsidP="004B692E"/>
          <w:p w14:paraId="7E890893" w14:textId="7E5F99C2" w:rsidR="004B692E" w:rsidRDefault="004B692E" w:rsidP="00C333A0">
            <w:pPr>
              <w:pStyle w:val="ListParagraph"/>
              <w:numPr>
                <w:ilvl w:val="0"/>
                <w:numId w:val="3"/>
              </w:numPr>
            </w:pPr>
            <w:r>
              <w:t>Malawi collaboration relies on strong end user input, which is critical to success.</w:t>
            </w:r>
          </w:p>
          <w:p w14:paraId="65698744" w14:textId="77777777" w:rsidR="008E4FD1" w:rsidRDefault="008E4FD1"/>
        </w:tc>
      </w:tr>
    </w:tbl>
    <w:p w14:paraId="21B2CDF4" w14:textId="77777777" w:rsidR="002A1632" w:rsidRDefault="002A1632" w:rsidP="00C95D87"/>
    <w:sectPr w:rsidR="002A1632" w:rsidSect="0037626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67A1" w14:textId="77777777" w:rsidR="00537F26" w:rsidRDefault="00537F26" w:rsidP="00E0184F">
      <w:r>
        <w:separator/>
      </w:r>
    </w:p>
  </w:endnote>
  <w:endnote w:type="continuationSeparator" w:id="0">
    <w:p w14:paraId="10CA9489" w14:textId="77777777" w:rsidR="00537F26" w:rsidRDefault="00537F26" w:rsidP="00E0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A9D1" w14:textId="77777777" w:rsidR="00537F26" w:rsidRDefault="00537F26" w:rsidP="00537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BF959" w14:textId="77777777" w:rsidR="00537F26" w:rsidRDefault="00537F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74209" w14:textId="77777777" w:rsidR="00537F26" w:rsidRDefault="00537F26" w:rsidP="00537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9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0A5DA4" w14:textId="77777777" w:rsidR="00537F26" w:rsidRDefault="00537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5D50" w14:textId="77777777" w:rsidR="00537F26" w:rsidRDefault="00537F26" w:rsidP="00E0184F">
      <w:r>
        <w:separator/>
      </w:r>
    </w:p>
  </w:footnote>
  <w:footnote w:type="continuationSeparator" w:id="0">
    <w:p w14:paraId="4937DC70" w14:textId="77777777" w:rsidR="00537F26" w:rsidRDefault="00537F26" w:rsidP="00E0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93A"/>
    <w:multiLevelType w:val="hybridMultilevel"/>
    <w:tmpl w:val="4C12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766C"/>
    <w:multiLevelType w:val="hybridMultilevel"/>
    <w:tmpl w:val="AAC61E70"/>
    <w:lvl w:ilvl="0" w:tplc="32DA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C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8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6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2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A3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A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0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E9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E15921"/>
    <w:multiLevelType w:val="hybridMultilevel"/>
    <w:tmpl w:val="169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0910"/>
    <w:multiLevelType w:val="hybridMultilevel"/>
    <w:tmpl w:val="D8F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A2521"/>
    <w:multiLevelType w:val="hybridMultilevel"/>
    <w:tmpl w:val="1C8451AA"/>
    <w:lvl w:ilvl="0" w:tplc="4DE6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3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0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2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2A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88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82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23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8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32"/>
    <w:rsid w:val="00064C8B"/>
    <w:rsid w:val="00072586"/>
    <w:rsid w:val="000C59D3"/>
    <w:rsid w:val="00230EED"/>
    <w:rsid w:val="002A1632"/>
    <w:rsid w:val="002E12D0"/>
    <w:rsid w:val="00376269"/>
    <w:rsid w:val="00400FCF"/>
    <w:rsid w:val="004B692E"/>
    <w:rsid w:val="004C45F1"/>
    <w:rsid w:val="00537F26"/>
    <w:rsid w:val="0057494F"/>
    <w:rsid w:val="005D2CB6"/>
    <w:rsid w:val="006A7034"/>
    <w:rsid w:val="006B1EC1"/>
    <w:rsid w:val="006D0915"/>
    <w:rsid w:val="00765ADF"/>
    <w:rsid w:val="008D2414"/>
    <w:rsid w:val="008E4FD1"/>
    <w:rsid w:val="008F181E"/>
    <w:rsid w:val="009C747E"/>
    <w:rsid w:val="009F6AF9"/>
    <w:rsid w:val="00BA1DD8"/>
    <w:rsid w:val="00C333A0"/>
    <w:rsid w:val="00C95D87"/>
    <w:rsid w:val="00E0184F"/>
    <w:rsid w:val="00E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75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1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4F"/>
  </w:style>
  <w:style w:type="character" w:styleId="PageNumber">
    <w:name w:val="page number"/>
    <w:basedOn w:val="DefaultParagraphFont"/>
    <w:uiPriority w:val="99"/>
    <w:semiHidden/>
    <w:unhideWhenUsed/>
    <w:rsid w:val="00E0184F"/>
  </w:style>
  <w:style w:type="paragraph" w:styleId="BalloonText">
    <w:name w:val="Balloon Text"/>
    <w:basedOn w:val="Normal"/>
    <w:link w:val="BalloonTextChar"/>
    <w:uiPriority w:val="99"/>
    <w:semiHidden/>
    <w:unhideWhenUsed/>
    <w:rsid w:val="0076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1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4F"/>
  </w:style>
  <w:style w:type="character" w:styleId="PageNumber">
    <w:name w:val="page number"/>
    <w:basedOn w:val="DefaultParagraphFont"/>
    <w:uiPriority w:val="99"/>
    <w:semiHidden/>
    <w:unhideWhenUsed/>
    <w:rsid w:val="00E0184F"/>
  </w:style>
  <w:style w:type="paragraph" w:styleId="BalloonText">
    <w:name w:val="Balloon Text"/>
    <w:basedOn w:val="Normal"/>
    <w:link w:val="BalloonTextChar"/>
    <w:uiPriority w:val="99"/>
    <w:semiHidden/>
    <w:unhideWhenUsed/>
    <w:rsid w:val="0076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50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5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53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3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02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44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6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05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Athena Global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Eddy</dc:creator>
  <cp:lastModifiedBy>Andrew Eddy</cp:lastModifiedBy>
  <cp:revision>3</cp:revision>
  <dcterms:created xsi:type="dcterms:W3CDTF">2016-09-21T06:21:00Z</dcterms:created>
  <dcterms:modified xsi:type="dcterms:W3CDTF">2016-09-21T06:22:00Z</dcterms:modified>
</cp:coreProperties>
</file>