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743" w:type="dxa"/>
        <w:tblInd w:w="-27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00" w:firstRow="0" w:lastRow="0" w:firstColumn="0" w:lastColumn="0" w:noHBand="0" w:noVBand="1"/>
      </w:tblPr>
      <w:tblGrid>
        <w:gridCol w:w="1498"/>
        <w:gridCol w:w="7230"/>
        <w:gridCol w:w="567"/>
        <w:gridCol w:w="448"/>
      </w:tblGrid>
      <w:tr w:rsidR="00FD727C" w:rsidRPr="002D4C96" w14:paraId="5A30F92D" w14:textId="77777777">
        <w:tc>
          <w:tcPr>
            <w:tcW w:w="1498" w:type="dxa"/>
            <w:shd w:val="clear" w:color="auto" w:fill="D9D9D9"/>
          </w:tcPr>
          <w:p w14:paraId="582C6497" w14:textId="77777777" w:rsidR="00FD727C" w:rsidRPr="002D4C96" w:rsidRDefault="00000000" w:rsidP="002D4C96">
            <w:pPr>
              <w:tabs>
                <w:tab w:val="left" w:pos="2126"/>
              </w:tabs>
              <w:rPr>
                <w:rFonts w:ascii="Arial" w:eastAsia="Arial" w:hAnsi="Arial" w:cs="Arial"/>
                <w:b/>
                <w:color w:val="005A8C"/>
                <w:sz w:val="18"/>
                <w:szCs w:val="18"/>
              </w:rPr>
            </w:pPr>
            <w:r w:rsidRPr="002D4C96">
              <w:rPr>
                <w:rFonts w:ascii="Arial" w:eastAsia="Arial" w:hAnsi="Arial" w:cs="Arial"/>
                <w:b/>
                <w:color w:val="005A8C"/>
                <w:sz w:val="18"/>
                <w:szCs w:val="18"/>
              </w:rPr>
              <w:t>Indicator</w:t>
            </w:r>
          </w:p>
        </w:tc>
        <w:tc>
          <w:tcPr>
            <w:tcW w:w="8245" w:type="dxa"/>
            <w:gridSpan w:val="3"/>
          </w:tcPr>
          <w:p w14:paraId="3A1BDE6E" w14:textId="77777777" w:rsidR="00FD727C" w:rsidRPr="002D4C96" w:rsidRDefault="00000000" w:rsidP="002D4C96">
            <w:pPr>
              <w:tabs>
                <w:tab w:val="left" w:pos="2126"/>
              </w:tabs>
              <w:rPr>
                <w:rFonts w:ascii="Arial" w:eastAsia="Arial" w:hAnsi="Arial" w:cs="Arial"/>
                <w:sz w:val="18"/>
                <w:szCs w:val="18"/>
              </w:rPr>
            </w:pPr>
            <w:r w:rsidRPr="002D4C96">
              <w:rPr>
                <w:rFonts w:ascii="Arial" w:eastAsia="Arial" w:hAnsi="Arial" w:cs="Arial"/>
                <w:sz w:val="18"/>
                <w:szCs w:val="18"/>
              </w:rPr>
              <w:t>14.1.1a Index of Coastal Eutrophication</w:t>
            </w:r>
          </w:p>
        </w:tc>
      </w:tr>
      <w:tr w:rsidR="00FD727C" w:rsidRPr="002D4C96" w14:paraId="10625783" w14:textId="77777777">
        <w:tc>
          <w:tcPr>
            <w:tcW w:w="1498" w:type="dxa"/>
          </w:tcPr>
          <w:p w14:paraId="23D41DAC" w14:textId="77777777" w:rsidR="00FD727C" w:rsidRPr="002D4C96" w:rsidRDefault="00000000" w:rsidP="002D4C96">
            <w:pPr>
              <w:tabs>
                <w:tab w:val="left" w:pos="2126"/>
              </w:tabs>
              <w:rPr>
                <w:rFonts w:ascii="Arial" w:eastAsia="Arial" w:hAnsi="Arial" w:cs="Arial"/>
                <w:color w:val="005A8C"/>
                <w:sz w:val="18"/>
                <w:szCs w:val="18"/>
              </w:rPr>
            </w:pPr>
            <w:r w:rsidRPr="002D4C96">
              <w:rPr>
                <w:rFonts w:ascii="Arial" w:eastAsia="Arial" w:hAnsi="Arial" w:cs="Arial"/>
                <w:color w:val="005A8C"/>
                <w:sz w:val="18"/>
                <w:szCs w:val="18"/>
              </w:rPr>
              <w:t>Target</w:t>
            </w:r>
          </w:p>
        </w:tc>
        <w:tc>
          <w:tcPr>
            <w:tcW w:w="8245" w:type="dxa"/>
            <w:gridSpan w:val="3"/>
          </w:tcPr>
          <w:p w14:paraId="1B831FA9" w14:textId="77777777" w:rsidR="00FD727C" w:rsidRPr="002D4C96" w:rsidRDefault="00000000" w:rsidP="002D4C96">
            <w:pPr>
              <w:tabs>
                <w:tab w:val="left" w:pos="2126"/>
              </w:tabs>
              <w:rPr>
                <w:rFonts w:ascii="Arial" w:eastAsia="Arial" w:hAnsi="Arial" w:cs="Arial"/>
                <w:sz w:val="18"/>
                <w:szCs w:val="18"/>
              </w:rPr>
            </w:pPr>
            <w:r w:rsidRPr="002D4C96">
              <w:rPr>
                <w:rFonts w:ascii="Arial" w:eastAsia="Arial" w:hAnsi="Arial" w:cs="Arial"/>
                <w:sz w:val="18"/>
                <w:szCs w:val="18"/>
              </w:rPr>
              <w:t>By 2025, prevent and significantly reduce marine pollution of all kinds, in particular from land-based activities, including marine debris and nutrient pollution.</w:t>
            </w:r>
          </w:p>
        </w:tc>
      </w:tr>
      <w:tr w:rsidR="00FD727C" w:rsidRPr="002D4C96" w14:paraId="03DFAD6E" w14:textId="77777777">
        <w:tc>
          <w:tcPr>
            <w:tcW w:w="1498" w:type="dxa"/>
          </w:tcPr>
          <w:p w14:paraId="27C3EA26" w14:textId="77777777" w:rsidR="00FD727C" w:rsidRPr="002D4C96" w:rsidRDefault="00000000" w:rsidP="002D4C96">
            <w:pPr>
              <w:tabs>
                <w:tab w:val="left" w:pos="2126"/>
              </w:tabs>
              <w:rPr>
                <w:rFonts w:ascii="Arial" w:eastAsia="Arial" w:hAnsi="Arial" w:cs="Arial"/>
                <w:color w:val="005A8C"/>
                <w:sz w:val="18"/>
                <w:szCs w:val="18"/>
              </w:rPr>
            </w:pPr>
            <w:r w:rsidRPr="002D4C96">
              <w:rPr>
                <w:rFonts w:ascii="Arial" w:eastAsia="Arial" w:hAnsi="Arial" w:cs="Arial"/>
                <w:color w:val="005A8C"/>
                <w:sz w:val="18"/>
                <w:szCs w:val="18"/>
              </w:rPr>
              <w:t>Custodian</w:t>
            </w:r>
          </w:p>
        </w:tc>
        <w:tc>
          <w:tcPr>
            <w:tcW w:w="7230" w:type="dxa"/>
          </w:tcPr>
          <w:p w14:paraId="21FA7811" w14:textId="77777777" w:rsidR="00FD727C" w:rsidRPr="002D4C96" w:rsidRDefault="00000000" w:rsidP="002D4C96">
            <w:pPr>
              <w:tabs>
                <w:tab w:val="left" w:pos="2126"/>
              </w:tabs>
              <w:rPr>
                <w:rFonts w:ascii="Arial" w:eastAsia="Arial" w:hAnsi="Arial" w:cs="Arial"/>
                <w:sz w:val="18"/>
                <w:szCs w:val="18"/>
              </w:rPr>
            </w:pPr>
            <w:r w:rsidRPr="002D4C96">
              <w:rPr>
                <w:rFonts w:ascii="Arial" w:eastAsia="Arial" w:hAnsi="Arial" w:cs="Arial"/>
                <w:sz w:val="18"/>
                <w:szCs w:val="18"/>
              </w:rPr>
              <w:t xml:space="preserve">United Nations Environment </w:t>
            </w:r>
            <w:proofErr w:type="spellStart"/>
            <w:r w:rsidRPr="002D4C96">
              <w:rPr>
                <w:rFonts w:ascii="Arial" w:eastAsia="Arial" w:hAnsi="Arial" w:cs="Arial"/>
                <w:sz w:val="18"/>
                <w:szCs w:val="18"/>
              </w:rPr>
              <w:t>Programme</w:t>
            </w:r>
            <w:proofErr w:type="spellEnd"/>
            <w:r w:rsidRPr="002D4C96">
              <w:rPr>
                <w:rFonts w:ascii="Arial" w:eastAsia="Arial" w:hAnsi="Arial" w:cs="Arial"/>
                <w:sz w:val="18"/>
                <w:szCs w:val="18"/>
              </w:rPr>
              <w:t xml:space="preserve"> (UNEP) </w:t>
            </w:r>
          </w:p>
        </w:tc>
        <w:tc>
          <w:tcPr>
            <w:tcW w:w="567" w:type="dxa"/>
          </w:tcPr>
          <w:p w14:paraId="20DCE9DC" w14:textId="77777777" w:rsidR="00FD727C" w:rsidRPr="002D4C96" w:rsidRDefault="00000000" w:rsidP="002D4C96">
            <w:pPr>
              <w:tabs>
                <w:tab w:val="left" w:pos="2126"/>
              </w:tabs>
              <w:rPr>
                <w:rFonts w:ascii="Arial" w:eastAsia="Arial" w:hAnsi="Arial" w:cs="Arial"/>
                <w:color w:val="005A8C"/>
                <w:sz w:val="18"/>
                <w:szCs w:val="18"/>
              </w:rPr>
            </w:pPr>
            <w:r w:rsidRPr="002D4C96">
              <w:rPr>
                <w:rFonts w:ascii="Arial" w:eastAsia="Arial" w:hAnsi="Arial" w:cs="Arial"/>
                <w:color w:val="005A8C"/>
                <w:sz w:val="18"/>
                <w:szCs w:val="18"/>
              </w:rPr>
              <w:t>Tier</w:t>
            </w:r>
          </w:p>
        </w:tc>
        <w:tc>
          <w:tcPr>
            <w:tcW w:w="448" w:type="dxa"/>
          </w:tcPr>
          <w:p w14:paraId="560473EA" w14:textId="77777777" w:rsidR="00FD727C" w:rsidRPr="002D4C96" w:rsidRDefault="00000000" w:rsidP="002D4C96">
            <w:pPr>
              <w:tabs>
                <w:tab w:val="left" w:pos="2126"/>
              </w:tabs>
              <w:rPr>
                <w:rFonts w:ascii="Arial" w:eastAsia="Arial" w:hAnsi="Arial" w:cs="Arial"/>
                <w:sz w:val="18"/>
                <w:szCs w:val="18"/>
              </w:rPr>
            </w:pPr>
            <w:r w:rsidRPr="002D4C96">
              <w:rPr>
                <w:rFonts w:ascii="Arial" w:eastAsia="Arial" w:hAnsi="Arial" w:cs="Arial"/>
                <w:sz w:val="18"/>
                <w:szCs w:val="18"/>
              </w:rPr>
              <w:t>II</w:t>
            </w:r>
          </w:p>
        </w:tc>
      </w:tr>
      <w:tr w:rsidR="00FD727C" w:rsidRPr="002D4C96" w14:paraId="7CE6E73E" w14:textId="77777777">
        <w:tc>
          <w:tcPr>
            <w:tcW w:w="1498" w:type="dxa"/>
          </w:tcPr>
          <w:p w14:paraId="370D0B23" w14:textId="77777777" w:rsidR="00FD727C" w:rsidRPr="002D4C96" w:rsidRDefault="00000000" w:rsidP="002D4C96">
            <w:pPr>
              <w:tabs>
                <w:tab w:val="left" w:pos="2126"/>
              </w:tabs>
              <w:rPr>
                <w:rFonts w:ascii="Arial" w:eastAsia="Arial" w:hAnsi="Arial" w:cs="Arial"/>
                <w:color w:val="005A8C"/>
                <w:sz w:val="18"/>
                <w:szCs w:val="18"/>
              </w:rPr>
            </w:pPr>
            <w:r w:rsidRPr="002D4C96">
              <w:rPr>
                <w:rFonts w:ascii="Arial" w:eastAsia="Arial" w:hAnsi="Arial" w:cs="Arial"/>
                <w:color w:val="005A8C"/>
                <w:sz w:val="18"/>
                <w:szCs w:val="18"/>
              </w:rPr>
              <w:t>Current approach and challenges</w:t>
            </w:r>
          </w:p>
        </w:tc>
        <w:tc>
          <w:tcPr>
            <w:tcW w:w="8245" w:type="dxa"/>
            <w:gridSpan w:val="3"/>
          </w:tcPr>
          <w:p w14:paraId="0E74FB7B" w14:textId="134D147A" w:rsidR="007F2A18" w:rsidRPr="002D4C96" w:rsidRDefault="007F2A18" w:rsidP="002D4C96">
            <w:pPr>
              <w:tabs>
                <w:tab w:val="left" w:pos="2126"/>
              </w:tabs>
              <w:rPr>
                <w:rFonts w:ascii="Arial" w:eastAsia="Arial" w:hAnsi="Arial" w:cs="Arial"/>
                <w:b/>
                <w:sz w:val="18"/>
                <w:szCs w:val="18"/>
                <w:u w:val="single"/>
              </w:rPr>
            </w:pPr>
            <w:r w:rsidRPr="002D4C96">
              <w:rPr>
                <w:rFonts w:ascii="Arial" w:eastAsia="Arial" w:hAnsi="Arial" w:cs="Arial"/>
                <w:b/>
                <w:sz w:val="18"/>
                <w:szCs w:val="18"/>
                <w:u w:val="single"/>
              </w:rPr>
              <w:t>Approach:</w:t>
            </w:r>
          </w:p>
          <w:p w14:paraId="5C19EE37" w14:textId="57748BAA" w:rsidR="00EA2279" w:rsidRDefault="00000000" w:rsidP="002D4C96">
            <w:pPr>
              <w:tabs>
                <w:tab w:val="left" w:pos="2126"/>
              </w:tabs>
              <w:rPr>
                <w:rFonts w:ascii="Arial" w:eastAsia="Arial" w:hAnsi="Arial" w:cs="Arial"/>
                <w:sz w:val="18"/>
                <w:szCs w:val="18"/>
              </w:rPr>
            </w:pPr>
            <w:r w:rsidRPr="002D4C96">
              <w:rPr>
                <w:rFonts w:ascii="Arial" w:eastAsia="Arial" w:hAnsi="Arial" w:cs="Arial"/>
                <w:sz w:val="18"/>
                <w:szCs w:val="18"/>
              </w:rPr>
              <w:t xml:space="preserve">SDG Indicator 14.1.1a aims to measure the contribution to coastal eutrophication from countries and the state of coastal eutrophication. </w:t>
            </w:r>
            <w:r w:rsidR="00EA2279" w:rsidRPr="002D4C96">
              <w:rPr>
                <w:rFonts w:ascii="Arial" w:eastAsia="Arial" w:hAnsi="Arial" w:cs="Arial"/>
                <w:sz w:val="18"/>
                <w:szCs w:val="18"/>
              </w:rPr>
              <w:t>The methodology for SDG Target 14.1.1a Agenda 2030 is a country-led and country-owned process. The methodology encourages the use of globally available environmental data to enhance country-derived data, filling data gaps and enabling countries to more rapidly make progress towards achieving SDG targets. SDG 14.1.1a has a progressive monitoring approach which brings together globally modelled data and national data. This same approach has been adopted for other SDG indicator methodologies.</w:t>
            </w:r>
          </w:p>
          <w:p w14:paraId="2D1EDA9E" w14:textId="77777777" w:rsidR="000B4152" w:rsidRPr="002D4C96" w:rsidRDefault="000B4152" w:rsidP="002D4C96">
            <w:pPr>
              <w:tabs>
                <w:tab w:val="left" w:pos="2126"/>
              </w:tabs>
              <w:rPr>
                <w:rFonts w:ascii="Arial" w:eastAsia="Arial" w:hAnsi="Arial" w:cs="Arial"/>
                <w:sz w:val="18"/>
                <w:szCs w:val="18"/>
              </w:rPr>
            </w:pPr>
          </w:p>
          <w:p w14:paraId="043C4CDC" w14:textId="13B59B6B" w:rsidR="00EA2279" w:rsidRDefault="00EA2279" w:rsidP="002D4C96">
            <w:pPr>
              <w:tabs>
                <w:tab w:val="left" w:pos="2126"/>
              </w:tabs>
              <w:rPr>
                <w:rFonts w:ascii="Arial" w:eastAsia="Arial" w:hAnsi="Arial" w:cs="Arial"/>
                <w:sz w:val="18"/>
                <w:szCs w:val="18"/>
              </w:rPr>
            </w:pPr>
            <w:r w:rsidRPr="002D4C96">
              <w:rPr>
                <w:rFonts w:ascii="Arial" w:eastAsia="Arial" w:hAnsi="Arial" w:cs="Arial"/>
                <w:sz w:val="18"/>
                <w:szCs w:val="18"/>
              </w:rPr>
              <w:t xml:space="preserve">This progressive monitoring approach means that countries can utilize both globally- and nationally- derived data to report on Indicator 14.1.1a. Where countries have the data and capacity to do so, they should aim to report on all aspects of Indicator 14.1.1a. While it is beneficial to capture data on all aspects of the </w:t>
            </w:r>
            <w:r w:rsidR="00F425A1" w:rsidRPr="002D4C96">
              <w:rPr>
                <w:rFonts w:ascii="Arial" w:eastAsia="Arial" w:hAnsi="Arial" w:cs="Arial"/>
                <w:sz w:val="18"/>
                <w:szCs w:val="18"/>
              </w:rPr>
              <w:t>indicator</w:t>
            </w:r>
            <w:r w:rsidRPr="002D4C96">
              <w:rPr>
                <w:rFonts w:ascii="Arial" w:eastAsia="Arial" w:hAnsi="Arial" w:cs="Arial"/>
                <w:sz w:val="18"/>
                <w:szCs w:val="18"/>
              </w:rPr>
              <w:t xml:space="preserve">, it is </w:t>
            </w:r>
            <w:proofErr w:type="spellStart"/>
            <w:r w:rsidRPr="002D4C96">
              <w:rPr>
                <w:rFonts w:ascii="Arial" w:eastAsia="Arial" w:hAnsi="Arial" w:cs="Arial"/>
                <w:sz w:val="18"/>
                <w:szCs w:val="18"/>
              </w:rPr>
              <w:t>recognised</w:t>
            </w:r>
            <w:proofErr w:type="spellEnd"/>
            <w:r w:rsidRPr="002D4C96">
              <w:rPr>
                <w:rFonts w:ascii="Arial" w:eastAsia="Arial" w:hAnsi="Arial" w:cs="Arial"/>
                <w:sz w:val="18"/>
                <w:szCs w:val="18"/>
              </w:rPr>
              <w:t xml:space="preserve"> that not all countries may have all required data available to achieve this. Therefore, the progressive monitoring approach presented here encourages different levels of ambition, depending on a country’s capacity.</w:t>
            </w:r>
          </w:p>
          <w:p w14:paraId="39181E4E" w14:textId="77777777" w:rsidR="000B4152" w:rsidRPr="002D4C96" w:rsidRDefault="000B4152" w:rsidP="002D4C96">
            <w:pPr>
              <w:tabs>
                <w:tab w:val="left" w:pos="2126"/>
              </w:tabs>
              <w:rPr>
                <w:rFonts w:ascii="Arial" w:eastAsia="Arial" w:hAnsi="Arial" w:cs="Arial"/>
                <w:sz w:val="18"/>
                <w:szCs w:val="18"/>
              </w:rPr>
            </w:pPr>
          </w:p>
          <w:p w14:paraId="1BCFD1C3" w14:textId="2FDFC9E8" w:rsidR="00EA2279" w:rsidRPr="002D4C96" w:rsidRDefault="00EA2279" w:rsidP="002D4C96">
            <w:pPr>
              <w:tabs>
                <w:tab w:val="left" w:pos="2126"/>
              </w:tabs>
              <w:rPr>
                <w:rFonts w:ascii="Arial" w:eastAsia="Arial" w:hAnsi="Arial" w:cs="Arial"/>
                <w:sz w:val="18"/>
                <w:szCs w:val="18"/>
              </w:rPr>
            </w:pPr>
            <w:r w:rsidRPr="002D4C96">
              <w:rPr>
                <w:rFonts w:ascii="Arial" w:eastAsia="Arial" w:hAnsi="Arial" w:cs="Arial"/>
                <w:sz w:val="18"/>
                <w:szCs w:val="18"/>
              </w:rPr>
              <w:t>The progressive monitoring approach uses 3 Levels. Level 1 data utilizes data which is already globally available and for which UNEP will produce data products. This allows to establish a foundation which can be strengthened by countries as they develop capacity and ability to report on Level 2 data and Level 3 data. Level 2 data is recommended for national data collection in all countries. Level 3 data is a list of supplementary information which is suggested that countries consider monitoring</w:t>
            </w:r>
            <w:r w:rsidR="00F425A1" w:rsidRPr="002D4C96">
              <w:rPr>
                <w:rFonts w:ascii="Arial" w:eastAsia="Arial" w:hAnsi="Arial" w:cs="Arial"/>
                <w:sz w:val="18"/>
                <w:szCs w:val="18"/>
              </w:rPr>
              <w:t xml:space="preserve">. The Level 1 data utilizes global satellite data. </w:t>
            </w:r>
            <w:r w:rsidRPr="002D4C96">
              <w:rPr>
                <w:rFonts w:ascii="Arial" w:eastAsia="Arial" w:hAnsi="Arial" w:cs="Arial"/>
                <w:sz w:val="18"/>
                <w:szCs w:val="18"/>
              </w:rPr>
              <w:t>Since this global data is derived from global algorithms, some countries may choose to provide their own data derived from regionally tuned algorithms as part of the Level 2 data</w:t>
            </w:r>
            <w:r w:rsidR="00F425A1" w:rsidRPr="002D4C96">
              <w:rPr>
                <w:rFonts w:ascii="Arial" w:eastAsia="Arial" w:hAnsi="Arial" w:cs="Arial"/>
                <w:sz w:val="18"/>
                <w:szCs w:val="18"/>
              </w:rPr>
              <w:t xml:space="preserve">. </w:t>
            </w:r>
          </w:p>
          <w:p w14:paraId="1518265A" w14:textId="77777777" w:rsidR="005263D8" w:rsidRPr="002D4C96" w:rsidRDefault="005263D8" w:rsidP="002D4C96">
            <w:pPr>
              <w:tabs>
                <w:tab w:val="left" w:pos="2126"/>
              </w:tabs>
              <w:rPr>
                <w:rFonts w:ascii="Arial" w:eastAsia="Arial" w:hAnsi="Arial" w:cs="Arial"/>
                <w:sz w:val="18"/>
                <w:szCs w:val="18"/>
              </w:rPr>
            </w:pPr>
          </w:p>
          <w:p w14:paraId="65B69525" w14:textId="66B9CAE8" w:rsidR="00FD727C" w:rsidRPr="002D4C96" w:rsidRDefault="00000000" w:rsidP="002D4C96">
            <w:pPr>
              <w:tabs>
                <w:tab w:val="left" w:pos="2126"/>
              </w:tabs>
              <w:rPr>
                <w:rFonts w:ascii="Arial" w:eastAsia="Arial" w:hAnsi="Arial" w:cs="Arial"/>
                <w:b/>
                <w:sz w:val="18"/>
                <w:szCs w:val="18"/>
                <w:u w:val="single"/>
              </w:rPr>
            </w:pPr>
            <w:r w:rsidRPr="002D4C96">
              <w:rPr>
                <w:rFonts w:ascii="Arial" w:eastAsia="Arial" w:hAnsi="Arial" w:cs="Arial"/>
                <w:b/>
                <w:sz w:val="18"/>
                <w:szCs w:val="18"/>
                <w:u w:val="single"/>
              </w:rPr>
              <w:t>Challenges:</w:t>
            </w:r>
          </w:p>
          <w:p w14:paraId="00AA0F69" w14:textId="4F1CC094" w:rsidR="00C87190" w:rsidRPr="002D4C96" w:rsidRDefault="00CD3DA0" w:rsidP="002D4C96">
            <w:pPr>
              <w:tabs>
                <w:tab w:val="left" w:pos="2126"/>
              </w:tabs>
              <w:rPr>
                <w:rFonts w:ascii="Arial" w:eastAsia="Arial" w:hAnsi="Arial" w:cs="Arial"/>
                <w:bCs/>
                <w:sz w:val="18"/>
                <w:szCs w:val="18"/>
              </w:rPr>
            </w:pPr>
            <w:r w:rsidRPr="002D4C96">
              <w:rPr>
                <w:rFonts w:ascii="Arial" w:eastAsia="Arial" w:hAnsi="Arial" w:cs="Arial"/>
                <w:bCs/>
                <w:sz w:val="18"/>
                <w:szCs w:val="18"/>
              </w:rPr>
              <w:t xml:space="preserve">Many countries lack the </w:t>
            </w:r>
            <w:r w:rsidR="000B4152" w:rsidRPr="002D4C96">
              <w:rPr>
                <w:rFonts w:ascii="Arial" w:eastAsia="Arial" w:hAnsi="Arial" w:cs="Arial"/>
                <w:bCs/>
                <w:sz w:val="18"/>
                <w:szCs w:val="18"/>
              </w:rPr>
              <w:t>in-situ</w:t>
            </w:r>
            <w:r w:rsidRPr="002D4C96">
              <w:rPr>
                <w:rFonts w:ascii="Arial" w:eastAsia="Arial" w:hAnsi="Arial" w:cs="Arial"/>
                <w:bCs/>
                <w:sz w:val="18"/>
                <w:szCs w:val="18"/>
              </w:rPr>
              <w:t xml:space="preserve"> data needed to track eutrophication (nitrogen, phosphorous, chlorophyll, etc.). </w:t>
            </w:r>
            <w:r w:rsidR="000B4152">
              <w:rPr>
                <w:rFonts w:ascii="Arial" w:eastAsia="Arial" w:hAnsi="Arial" w:cs="Arial"/>
                <w:bCs/>
                <w:sz w:val="18"/>
                <w:szCs w:val="18"/>
              </w:rPr>
              <w:t xml:space="preserve">Global satellite products provide a course assessment but </w:t>
            </w:r>
            <w:r w:rsidR="00BD4029">
              <w:rPr>
                <w:rFonts w:ascii="Arial" w:eastAsia="Arial" w:hAnsi="Arial" w:cs="Arial"/>
                <w:bCs/>
                <w:sz w:val="18"/>
                <w:szCs w:val="18"/>
              </w:rPr>
              <w:t>regionally tuned</w:t>
            </w:r>
            <w:r w:rsidR="000B4152">
              <w:rPr>
                <w:rFonts w:ascii="Arial" w:eastAsia="Arial" w:hAnsi="Arial" w:cs="Arial"/>
                <w:bCs/>
                <w:sz w:val="18"/>
                <w:szCs w:val="18"/>
              </w:rPr>
              <w:t xml:space="preserve">, higher resolution products are lacking in many regions for Level 2 data due to a lack of validation data and regional capacity. </w:t>
            </w:r>
          </w:p>
          <w:p w14:paraId="78412185" w14:textId="77777777" w:rsidR="00C87190" w:rsidRPr="002D4C96" w:rsidRDefault="00C87190" w:rsidP="002D4C96">
            <w:pPr>
              <w:tabs>
                <w:tab w:val="left" w:pos="2126"/>
              </w:tabs>
              <w:rPr>
                <w:rFonts w:ascii="Arial" w:eastAsia="Arial" w:hAnsi="Arial" w:cs="Arial"/>
                <w:bCs/>
                <w:sz w:val="18"/>
                <w:szCs w:val="18"/>
              </w:rPr>
            </w:pPr>
          </w:p>
          <w:p w14:paraId="28848AC7" w14:textId="77777777" w:rsidR="00FD727C" w:rsidRPr="002D4C96" w:rsidRDefault="00000000" w:rsidP="002D4C96">
            <w:pPr>
              <w:tabs>
                <w:tab w:val="left" w:pos="2126"/>
              </w:tabs>
              <w:rPr>
                <w:rFonts w:ascii="Arial" w:eastAsia="Arial" w:hAnsi="Arial" w:cs="Arial"/>
                <w:b/>
                <w:sz w:val="18"/>
                <w:szCs w:val="18"/>
                <w:u w:val="single"/>
              </w:rPr>
            </w:pPr>
            <w:r w:rsidRPr="002D4C96">
              <w:rPr>
                <w:rFonts w:ascii="Arial" w:eastAsia="Arial" w:hAnsi="Arial" w:cs="Arial"/>
                <w:b/>
                <w:sz w:val="18"/>
                <w:szCs w:val="18"/>
                <w:u w:val="single"/>
              </w:rPr>
              <w:t xml:space="preserve">Consideration of EO: </w:t>
            </w:r>
          </w:p>
          <w:p w14:paraId="7FCCC211" w14:textId="6620028D" w:rsidR="00FD727C" w:rsidRPr="002D4C96" w:rsidRDefault="00B03A25" w:rsidP="002D4C96">
            <w:pPr>
              <w:tabs>
                <w:tab w:val="left" w:pos="2126"/>
              </w:tabs>
              <w:rPr>
                <w:rFonts w:ascii="Arial" w:eastAsia="Arial" w:hAnsi="Arial" w:cs="Arial"/>
                <w:sz w:val="18"/>
                <w:szCs w:val="18"/>
              </w:rPr>
            </w:pPr>
            <w:r>
              <w:rPr>
                <w:rFonts w:ascii="Arial" w:eastAsia="Arial" w:hAnsi="Arial" w:cs="Arial"/>
                <w:sz w:val="18"/>
                <w:szCs w:val="18"/>
              </w:rPr>
              <w:t xml:space="preserve">Satellite-derived indicators provide a proxy for eutrophication. </w:t>
            </w:r>
            <w:r w:rsidR="00251236">
              <w:rPr>
                <w:rFonts w:ascii="Arial" w:eastAsia="Arial" w:hAnsi="Arial" w:cs="Arial"/>
                <w:sz w:val="18"/>
                <w:szCs w:val="18"/>
              </w:rPr>
              <w:t>To</w:t>
            </w:r>
            <w:r>
              <w:rPr>
                <w:rFonts w:ascii="Arial" w:eastAsia="Arial" w:hAnsi="Arial" w:cs="Arial"/>
                <w:sz w:val="18"/>
                <w:szCs w:val="18"/>
              </w:rPr>
              <w:t xml:space="preserve"> validate the eutrophic state, in situ data are required. </w:t>
            </w:r>
          </w:p>
          <w:p w14:paraId="6D3DF4D8" w14:textId="77777777" w:rsidR="00FD727C" w:rsidRPr="002D4C96" w:rsidRDefault="00FD727C" w:rsidP="002D4C96">
            <w:pPr>
              <w:tabs>
                <w:tab w:val="left" w:pos="2126"/>
              </w:tabs>
              <w:rPr>
                <w:rFonts w:ascii="Arial" w:eastAsia="Arial" w:hAnsi="Arial" w:cs="Arial"/>
                <w:sz w:val="18"/>
                <w:szCs w:val="18"/>
              </w:rPr>
            </w:pPr>
          </w:p>
        </w:tc>
      </w:tr>
      <w:tr w:rsidR="00FD727C" w:rsidRPr="002D4C96" w14:paraId="25DA1DE3" w14:textId="77777777">
        <w:tc>
          <w:tcPr>
            <w:tcW w:w="9743" w:type="dxa"/>
            <w:gridSpan w:val="4"/>
            <w:shd w:val="clear" w:color="auto" w:fill="D9D9D9"/>
          </w:tcPr>
          <w:p w14:paraId="41424191" w14:textId="77777777" w:rsidR="00FD727C" w:rsidRPr="002D4C96" w:rsidRDefault="00000000" w:rsidP="002D4C96">
            <w:pPr>
              <w:tabs>
                <w:tab w:val="left" w:pos="2126"/>
              </w:tabs>
              <w:rPr>
                <w:rFonts w:ascii="Arial" w:eastAsia="Arial" w:hAnsi="Arial" w:cs="Arial"/>
                <w:b/>
                <w:i/>
                <w:color w:val="005A8C"/>
                <w:sz w:val="18"/>
                <w:szCs w:val="18"/>
              </w:rPr>
            </w:pPr>
            <w:r w:rsidRPr="002D4C96">
              <w:rPr>
                <w:rFonts w:ascii="Arial" w:eastAsia="Arial" w:hAnsi="Arial" w:cs="Arial"/>
                <w:b/>
                <w:color w:val="005A8C"/>
                <w:sz w:val="18"/>
                <w:szCs w:val="18"/>
              </w:rPr>
              <w:t>Opportunities for Earth Observation</w:t>
            </w:r>
          </w:p>
        </w:tc>
      </w:tr>
      <w:tr w:rsidR="00FD727C" w:rsidRPr="002D4C96" w14:paraId="5B466CC9" w14:textId="77777777">
        <w:tc>
          <w:tcPr>
            <w:tcW w:w="1498" w:type="dxa"/>
          </w:tcPr>
          <w:p w14:paraId="3BB94882" w14:textId="77777777" w:rsidR="00FD727C" w:rsidRPr="002D4C96" w:rsidRDefault="00000000" w:rsidP="002D4C96">
            <w:pPr>
              <w:tabs>
                <w:tab w:val="left" w:pos="2126"/>
              </w:tabs>
              <w:rPr>
                <w:rFonts w:ascii="Arial" w:eastAsia="Arial" w:hAnsi="Arial" w:cs="Arial"/>
                <w:color w:val="005A8C"/>
                <w:sz w:val="18"/>
                <w:szCs w:val="18"/>
              </w:rPr>
            </w:pPr>
            <w:r w:rsidRPr="002D4C96">
              <w:rPr>
                <w:rFonts w:ascii="Arial" w:eastAsia="Arial" w:hAnsi="Arial" w:cs="Arial"/>
                <w:color w:val="005A8C"/>
                <w:sz w:val="18"/>
                <w:szCs w:val="18"/>
              </w:rPr>
              <w:t>Opportunities for EO</w:t>
            </w:r>
          </w:p>
        </w:tc>
        <w:tc>
          <w:tcPr>
            <w:tcW w:w="8245" w:type="dxa"/>
            <w:gridSpan w:val="3"/>
          </w:tcPr>
          <w:p w14:paraId="4E1F8229" w14:textId="62D64828" w:rsidR="00FD727C" w:rsidRPr="002D4C96" w:rsidRDefault="00322B12" w:rsidP="002D4C96">
            <w:pPr>
              <w:tabs>
                <w:tab w:val="left" w:pos="2126"/>
              </w:tabs>
              <w:rPr>
                <w:rFonts w:ascii="Arial" w:eastAsia="Arial" w:hAnsi="Arial" w:cs="Arial"/>
                <w:sz w:val="18"/>
                <w:szCs w:val="18"/>
              </w:rPr>
            </w:pPr>
            <w:r w:rsidRPr="002D4C96">
              <w:rPr>
                <w:rFonts w:ascii="Arial" w:eastAsia="Arial" w:hAnsi="Arial" w:cs="Arial"/>
                <w:sz w:val="18"/>
                <w:szCs w:val="18"/>
              </w:rPr>
              <w:t xml:space="preserve">Satellite data </w:t>
            </w:r>
            <w:r w:rsidR="00F245F5">
              <w:rPr>
                <w:rFonts w:ascii="Arial" w:eastAsia="Arial" w:hAnsi="Arial" w:cs="Arial"/>
                <w:sz w:val="18"/>
                <w:szCs w:val="18"/>
              </w:rPr>
              <w:t xml:space="preserve">provides synoptic views of areas that are not available with sparse in situ data. In the future, adding in additional satellite information such as land-use change, agriculture distribution, run-off and stream flow, information about potential sources of eutrophication can be identified and monitored. </w:t>
            </w:r>
          </w:p>
          <w:p w14:paraId="29D13E0E" w14:textId="77777777" w:rsidR="00FD727C" w:rsidRPr="002D4C96" w:rsidRDefault="00FD727C" w:rsidP="002D4C96">
            <w:pPr>
              <w:tabs>
                <w:tab w:val="left" w:pos="2126"/>
              </w:tabs>
              <w:rPr>
                <w:rFonts w:ascii="Arial" w:eastAsia="Arial" w:hAnsi="Arial" w:cs="Arial"/>
                <w:sz w:val="18"/>
                <w:szCs w:val="18"/>
              </w:rPr>
            </w:pPr>
          </w:p>
        </w:tc>
      </w:tr>
      <w:tr w:rsidR="00FD727C" w:rsidRPr="002D4C96" w14:paraId="1E005E3B" w14:textId="77777777">
        <w:tc>
          <w:tcPr>
            <w:tcW w:w="1498" w:type="dxa"/>
          </w:tcPr>
          <w:p w14:paraId="37C842B9" w14:textId="77777777" w:rsidR="00FD727C" w:rsidRPr="002D4C96" w:rsidRDefault="00000000" w:rsidP="002D4C96">
            <w:pPr>
              <w:tabs>
                <w:tab w:val="left" w:pos="2126"/>
              </w:tabs>
              <w:rPr>
                <w:rFonts w:ascii="Arial" w:eastAsia="Arial" w:hAnsi="Arial" w:cs="Arial"/>
                <w:color w:val="005A8C"/>
                <w:sz w:val="18"/>
                <w:szCs w:val="18"/>
              </w:rPr>
            </w:pPr>
            <w:r w:rsidRPr="002D4C96">
              <w:rPr>
                <w:rFonts w:ascii="Arial" w:eastAsia="Arial" w:hAnsi="Arial" w:cs="Arial"/>
                <w:color w:val="005A8C"/>
                <w:sz w:val="18"/>
                <w:szCs w:val="18"/>
              </w:rPr>
              <w:t>EO Data availability</w:t>
            </w:r>
          </w:p>
        </w:tc>
        <w:tc>
          <w:tcPr>
            <w:tcW w:w="8245" w:type="dxa"/>
            <w:gridSpan w:val="3"/>
          </w:tcPr>
          <w:p w14:paraId="18B475AC" w14:textId="7CBE7B8C" w:rsidR="00FD727C" w:rsidRDefault="00000000" w:rsidP="002D4C96">
            <w:pPr>
              <w:tabs>
                <w:tab w:val="left" w:pos="2126"/>
              </w:tabs>
              <w:rPr>
                <w:rFonts w:ascii="Arial" w:eastAsia="Arial" w:hAnsi="Arial" w:cs="Arial"/>
                <w:sz w:val="18"/>
                <w:szCs w:val="18"/>
              </w:rPr>
            </w:pPr>
            <w:r w:rsidRPr="002D4C96">
              <w:rPr>
                <w:rFonts w:ascii="Arial" w:eastAsia="Arial" w:hAnsi="Arial" w:cs="Arial"/>
                <w:sz w:val="18"/>
                <w:szCs w:val="18"/>
              </w:rPr>
              <w:t>Focus on the primary CEOS satellite data that applies to SDG 14.1.1. You might also want to summarize other derived tools and services that apply to this SDG.</w:t>
            </w:r>
          </w:p>
          <w:p w14:paraId="32969F93" w14:textId="77777777" w:rsidR="000B4152" w:rsidRPr="002D4C96" w:rsidRDefault="000B4152" w:rsidP="002D4C96">
            <w:pPr>
              <w:tabs>
                <w:tab w:val="left" w:pos="2126"/>
              </w:tabs>
              <w:rPr>
                <w:rFonts w:ascii="Arial" w:eastAsia="Arial" w:hAnsi="Arial" w:cs="Arial"/>
                <w:sz w:val="18"/>
                <w:szCs w:val="18"/>
              </w:rPr>
            </w:pPr>
          </w:p>
          <w:p w14:paraId="2BC79D93" w14:textId="77777777" w:rsidR="00FD727C" w:rsidRPr="002D4C96" w:rsidRDefault="00000000" w:rsidP="002D4C96">
            <w:pPr>
              <w:tabs>
                <w:tab w:val="left" w:pos="2126"/>
              </w:tabs>
              <w:rPr>
                <w:rFonts w:ascii="Arial" w:eastAsia="Arial" w:hAnsi="Arial" w:cs="Arial"/>
                <w:b/>
                <w:sz w:val="18"/>
                <w:szCs w:val="18"/>
                <w:u w:val="single"/>
              </w:rPr>
            </w:pPr>
            <w:r w:rsidRPr="002D4C96">
              <w:rPr>
                <w:rFonts w:ascii="Arial" w:eastAsia="Arial" w:hAnsi="Arial" w:cs="Arial"/>
                <w:b/>
                <w:sz w:val="18"/>
                <w:szCs w:val="18"/>
                <w:u w:val="single"/>
              </w:rPr>
              <w:t>Primary Tools and Data Services</w:t>
            </w:r>
          </w:p>
          <w:p w14:paraId="57427C3D" w14:textId="77777777" w:rsidR="005E64D7" w:rsidRPr="002D4C96" w:rsidRDefault="00000000" w:rsidP="002D4C96">
            <w:pPr>
              <w:pStyle w:val="ListParagraph"/>
              <w:numPr>
                <w:ilvl w:val="0"/>
                <w:numId w:val="1"/>
              </w:numPr>
              <w:tabs>
                <w:tab w:val="left" w:pos="2126"/>
              </w:tabs>
              <w:rPr>
                <w:rFonts w:ascii="Arial" w:eastAsia="Arial" w:hAnsi="Arial" w:cs="Arial"/>
                <w:color w:val="0563C1"/>
                <w:sz w:val="18"/>
                <w:szCs w:val="18"/>
                <w:u w:val="single"/>
              </w:rPr>
            </w:pPr>
            <w:hyperlink r:id="rId8">
              <w:proofErr w:type="spellStart"/>
              <w:r w:rsidRPr="002D4C96">
                <w:rPr>
                  <w:rFonts w:ascii="Arial" w:eastAsia="Arial" w:hAnsi="Arial" w:cs="Arial"/>
                  <w:color w:val="0563C1"/>
                  <w:sz w:val="18"/>
                  <w:szCs w:val="18"/>
                  <w:u w:val="single"/>
                </w:rPr>
                <w:t>EsriOceans</w:t>
              </w:r>
              <w:proofErr w:type="spellEnd"/>
              <w:r w:rsidRPr="002D4C96">
                <w:rPr>
                  <w:rFonts w:ascii="Arial" w:eastAsia="Arial" w:hAnsi="Arial" w:cs="Arial"/>
                  <w:color w:val="0563C1"/>
                  <w:sz w:val="18"/>
                  <w:szCs w:val="18"/>
                  <w:u w:val="single"/>
                </w:rPr>
                <w:t xml:space="preserve"> Chlorophyll Hub</w:t>
              </w:r>
            </w:hyperlink>
          </w:p>
          <w:p w14:paraId="73952457" w14:textId="09204F3D" w:rsidR="00560910" w:rsidRPr="002D4C96" w:rsidRDefault="00000000" w:rsidP="002D4C96">
            <w:pPr>
              <w:pStyle w:val="ListParagraph"/>
              <w:numPr>
                <w:ilvl w:val="0"/>
                <w:numId w:val="1"/>
              </w:numPr>
              <w:tabs>
                <w:tab w:val="left" w:pos="2126"/>
              </w:tabs>
              <w:rPr>
                <w:rFonts w:ascii="Arial" w:hAnsi="Arial" w:cs="Arial"/>
                <w:sz w:val="18"/>
                <w:szCs w:val="18"/>
              </w:rPr>
            </w:pPr>
            <w:hyperlink r:id="rId9">
              <w:r w:rsidRPr="002D4C96">
                <w:rPr>
                  <w:rFonts w:ascii="Arial" w:eastAsia="Arial" w:hAnsi="Arial" w:cs="Arial"/>
                  <w:color w:val="0563C1"/>
                  <w:sz w:val="18"/>
                  <w:szCs w:val="18"/>
                  <w:u w:val="single"/>
                </w:rPr>
                <w:t>ESA Ocean Color CCI</w:t>
              </w:r>
            </w:hyperlink>
            <w:r w:rsidR="00560910" w:rsidRPr="002D4C96">
              <w:rPr>
                <w:rFonts w:ascii="Arial" w:hAnsi="Arial" w:cs="Arial"/>
                <w:sz w:val="18"/>
                <w:szCs w:val="18"/>
              </w:rPr>
              <w:t xml:space="preserve"> </w:t>
            </w:r>
          </w:p>
          <w:p w14:paraId="378C9859" w14:textId="3614154C" w:rsidR="00E07B61" w:rsidRPr="002D4C96" w:rsidRDefault="00E07B61" w:rsidP="002D4C96">
            <w:pPr>
              <w:pStyle w:val="ListParagraph"/>
              <w:numPr>
                <w:ilvl w:val="0"/>
                <w:numId w:val="1"/>
              </w:numPr>
              <w:tabs>
                <w:tab w:val="left" w:pos="2126"/>
              </w:tabs>
              <w:rPr>
                <w:rFonts w:ascii="Arial" w:hAnsi="Arial" w:cs="Arial"/>
                <w:sz w:val="18"/>
                <w:szCs w:val="18"/>
              </w:rPr>
            </w:pPr>
            <w:hyperlink r:id="rId10" w:history="1">
              <w:r w:rsidRPr="002D4C96">
                <w:rPr>
                  <w:rStyle w:val="Hyperlink"/>
                  <w:rFonts w:ascii="Arial" w:hAnsi="Arial" w:cs="Arial"/>
                  <w:sz w:val="18"/>
                  <w:szCs w:val="18"/>
                </w:rPr>
                <w:t xml:space="preserve">NOAA </w:t>
              </w:r>
              <w:proofErr w:type="spellStart"/>
              <w:r w:rsidRPr="002D4C96">
                <w:rPr>
                  <w:rStyle w:val="Hyperlink"/>
                  <w:rFonts w:ascii="Arial" w:hAnsi="Arial" w:cs="Arial"/>
                  <w:sz w:val="18"/>
                  <w:szCs w:val="18"/>
                </w:rPr>
                <w:t>CoastWatch</w:t>
              </w:r>
              <w:proofErr w:type="spellEnd"/>
              <w:r w:rsidRPr="002D4C96">
                <w:rPr>
                  <w:rStyle w:val="Hyperlink"/>
                  <w:rFonts w:ascii="Arial" w:hAnsi="Arial" w:cs="Arial"/>
                  <w:sz w:val="18"/>
                  <w:szCs w:val="18"/>
                </w:rPr>
                <w:t xml:space="preserve"> </w:t>
              </w:r>
              <w:r w:rsidRPr="002D4C96">
                <w:rPr>
                  <w:rStyle w:val="Hyperlink"/>
                  <w:rFonts w:ascii="Arial" w:hAnsi="Arial" w:cs="Arial"/>
                  <w:sz w:val="18"/>
                  <w:szCs w:val="18"/>
                </w:rPr>
                <w:t>VIIRS single-sensor S-NPP and NOAA-20 Anomaly products</w:t>
              </w:r>
            </w:hyperlink>
          </w:p>
          <w:p w14:paraId="3B81DE86" w14:textId="01C12975" w:rsidR="00230226" w:rsidRPr="002D4C96" w:rsidRDefault="00230226" w:rsidP="002D4C96">
            <w:pPr>
              <w:pStyle w:val="ListParagraph"/>
              <w:numPr>
                <w:ilvl w:val="0"/>
                <w:numId w:val="1"/>
              </w:numPr>
              <w:tabs>
                <w:tab w:val="left" w:pos="2126"/>
              </w:tabs>
              <w:rPr>
                <w:rFonts w:ascii="Arial" w:hAnsi="Arial" w:cs="Arial"/>
                <w:sz w:val="18"/>
                <w:szCs w:val="18"/>
              </w:rPr>
            </w:pPr>
            <w:hyperlink r:id="rId11" w:anchor="date=20220831/zoom=2/lat=0/lon=0/tc=true/l2=false/sens=VIIRS/proj=4326/algo=noaa_msl12_nrt/prod=chl/ave=daily/cbar=false/gran=false/coast=true/grid=false" w:history="1">
              <w:r w:rsidRPr="002D4C96">
                <w:rPr>
                  <w:rStyle w:val="Hyperlink"/>
                  <w:rFonts w:ascii="Arial" w:hAnsi="Arial" w:cs="Arial"/>
                  <w:sz w:val="18"/>
                  <w:szCs w:val="18"/>
                </w:rPr>
                <w:t>NOAA’s Ocean Color Viewer</w:t>
              </w:r>
            </w:hyperlink>
          </w:p>
          <w:p w14:paraId="29F58E36" w14:textId="181239D6" w:rsidR="00560910" w:rsidRPr="002D4C96" w:rsidRDefault="005E64D7" w:rsidP="002D4C96">
            <w:pPr>
              <w:pStyle w:val="ListParagraph"/>
              <w:numPr>
                <w:ilvl w:val="0"/>
                <w:numId w:val="1"/>
              </w:numPr>
              <w:tabs>
                <w:tab w:val="left" w:pos="2126"/>
              </w:tabs>
              <w:rPr>
                <w:rFonts w:ascii="Arial" w:eastAsia="Arial" w:hAnsi="Arial" w:cs="Arial"/>
                <w:sz w:val="18"/>
                <w:szCs w:val="18"/>
              </w:rPr>
            </w:pPr>
            <w:hyperlink r:id="rId12" w:history="1">
              <w:r w:rsidRPr="002D4C96">
                <w:rPr>
                  <w:rStyle w:val="Hyperlink"/>
                  <w:rFonts w:ascii="Arial" w:eastAsia="Arial" w:hAnsi="Arial" w:cs="Arial"/>
                  <w:sz w:val="18"/>
                  <w:szCs w:val="18"/>
                </w:rPr>
                <w:t>NOWPAP Environmental Watch</w:t>
              </w:r>
            </w:hyperlink>
            <w:r w:rsidRPr="002D4C96">
              <w:rPr>
                <w:rFonts w:ascii="Arial" w:eastAsia="Arial" w:hAnsi="Arial" w:cs="Arial"/>
                <w:sz w:val="18"/>
                <w:szCs w:val="18"/>
              </w:rPr>
              <w:t xml:space="preserve"> </w:t>
            </w:r>
          </w:p>
          <w:p w14:paraId="32FE2A60" w14:textId="0306A412" w:rsidR="005E64D7" w:rsidRPr="002D4C96" w:rsidRDefault="005E64D7" w:rsidP="002D4C96">
            <w:pPr>
              <w:pStyle w:val="ListParagraph"/>
              <w:numPr>
                <w:ilvl w:val="0"/>
                <w:numId w:val="1"/>
              </w:numPr>
              <w:tabs>
                <w:tab w:val="left" w:pos="2126"/>
              </w:tabs>
              <w:rPr>
                <w:rFonts w:ascii="Arial" w:eastAsia="Arial" w:hAnsi="Arial" w:cs="Arial"/>
                <w:sz w:val="18"/>
                <w:szCs w:val="18"/>
              </w:rPr>
            </w:pPr>
            <w:hyperlink r:id="rId13" w:history="1">
              <w:r w:rsidRPr="002D4C96">
                <w:rPr>
                  <w:rStyle w:val="Hyperlink"/>
                  <w:rFonts w:ascii="Arial" w:eastAsia="Arial" w:hAnsi="Arial" w:cs="Arial"/>
                  <w:sz w:val="18"/>
                  <w:szCs w:val="18"/>
                </w:rPr>
                <w:t>NOWPAP Google Earth Engine Viewer</w:t>
              </w:r>
            </w:hyperlink>
          </w:p>
          <w:p w14:paraId="30D101E2" w14:textId="1FB41643" w:rsidR="00230226" w:rsidRPr="002D4C96" w:rsidRDefault="00230226" w:rsidP="002D4C96">
            <w:pPr>
              <w:pStyle w:val="ListParagraph"/>
              <w:numPr>
                <w:ilvl w:val="0"/>
                <w:numId w:val="1"/>
              </w:numPr>
              <w:tabs>
                <w:tab w:val="left" w:pos="2126"/>
              </w:tabs>
              <w:rPr>
                <w:rFonts w:ascii="Arial" w:eastAsia="Arial" w:hAnsi="Arial" w:cs="Arial"/>
                <w:sz w:val="18"/>
                <w:szCs w:val="18"/>
              </w:rPr>
            </w:pPr>
            <w:hyperlink r:id="rId14" w:anchor="longhurst" w:history="1">
              <w:r w:rsidRPr="002D4C96">
                <w:rPr>
                  <w:rStyle w:val="Hyperlink"/>
                  <w:rFonts w:ascii="Arial" w:eastAsia="Arial" w:hAnsi="Arial" w:cs="Arial"/>
                  <w:sz w:val="18"/>
                  <w:szCs w:val="18"/>
                </w:rPr>
                <w:t>Marine Regions</w:t>
              </w:r>
            </w:hyperlink>
          </w:p>
          <w:p w14:paraId="4F44C188" w14:textId="7C5BD866" w:rsidR="005E64D7" w:rsidRPr="002D4C96" w:rsidRDefault="005E64D7" w:rsidP="002D4C96">
            <w:pPr>
              <w:pStyle w:val="ListParagraph"/>
              <w:numPr>
                <w:ilvl w:val="0"/>
                <w:numId w:val="1"/>
              </w:numPr>
              <w:tabs>
                <w:tab w:val="left" w:pos="2126"/>
              </w:tabs>
              <w:rPr>
                <w:rFonts w:ascii="Arial" w:eastAsia="Arial" w:hAnsi="Arial" w:cs="Arial"/>
                <w:sz w:val="18"/>
                <w:szCs w:val="18"/>
              </w:rPr>
            </w:pPr>
            <w:hyperlink r:id="rId15" w:history="1">
              <w:r w:rsidRPr="002D4C96">
                <w:rPr>
                  <w:rStyle w:val="Hyperlink"/>
                  <w:rFonts w:ascii="Arial" w:eastAsia="Arial" w:hAnsi="Arial" w:cs="Arial"/>
                  <w:sz w:val="18"/>
                  <w:szCs w:val="18"/>
                </w:rPr>
                <w:t>NASA Ocean Biology Processing Group</w:t>
              </w:r>
            </w:hyperlink>
          </w:p>
          <w:p w14:paraId="019DCE4F" w14:textId="6B2D53B2" w:rsidR="00FD727C" w:rsidRPr="002D4C96" w:rsidRDefault="00FD727C" w:rsidP="002D4C96">
            <w:pPr>
              <w:tabs>
                <w:tab w:val="left" w:pos="2126"/>
              </w:tabs>
              <w:rPr>
                <w:rFonts w:ascii="Arial" w:eastAsia="Arial" w:hAnsi="Arial" w:cs="Arial"/>
                <w:sz w:val="18"/>
                <w:szCs w:val="18"/>
              </w:rPr>
            </w:pPr>
          </w:p>
        </w:tc>
      </w:tr>
      <w:tr w:rsidR="00FD727C" w:rsidRPr="002D4C96" w14:paraId="15CB5643" w14:textId="77777777">
        <w:tc>
          <w:tcPr>
            <w:tcW w:w="1498" w:type="dxa"/>
          </w:tcPr>
          <w:p w14:paraId="0F2BB363" w14:textId="77777777" w:rsidR="00FD727C" w:rsidRPr="002D4C96" w:rsidRDefault="00000000" w:rsidP="002D4C96">
            <w:pPr>
              <w:tabs>
                <w:tab w:val="left" w:pos="2126"/>
              </w:tabs>
              <w:rPr>
                <w:rFonts w:ascii="Arial" w:eastAsia="Arial" w:hAnsi="Arial" w:cs="Arial"/>
                <w:color w:val="005A8C"/>
                <w:sz w:val="18"/>
                <w:szCs w:val="18"/>
              </w:rPr>
            </w:pPr>
            <w:r w:rsidRPr="002D4C96">
              <w:rPr>
                <w:rFonts w:ascii="Arial" w:eastAsia="Arial" w:hAnsi="Arial" w:cs="Arial"/>
                <w:color w:val="005A8C"/>
                <w:sz w:val="18"/>
                <w:szCs w:val="18"/>
              </w:rPr>
              <w:t>International Initiatives</w:t>
            </w:r>
          </w:p>
        </w:tc>
        <w:tc>
          <w:tcPr>
            <w:tcW w:w="8245" w:type="dxa"/>
            <w:gridSpan w:val="3"/>
          </w:tcPr>
          <w:p w14:paraId="1A8D938D" w14:textId="6763B96E" w:rsidR="00FD727C" w:rsidRPr="002D4C96" w:rsidRDefault="0080502A" w:rsidP="002D4C96">
            <w:pPr>
              <w:tabs>
                <w:tab w:val="left" w:pos="2126"/>
              </w:tabs>
              <w:rPr>
                <w:rFonts w:ascii="Arial" w:eastAsia="Arial" w:hAnsi="Arial" w:cs="Arial"/>
                <w:sz w:val="18"/>
                <w:szCs w:val="18"/>
              </w:rPr>
            </w:pPr>
            <w:r w:rsidRPr="002D4C96">
              <w:rPr>
                <w:rFonts w:ascii="Arial" w:eastAsia="Arial" w:hAnsi="Arial" w:cs="Arial"/>
                <w:b/>
                <w:sz w:val="18"/>
                <w:szCs w:val="18"/>
              </w:rPr>
              <w:t>Support is being provided by GEO Blue Planet and CEOS.</w:t>
            </w:r>
          </w:p>
          <w:p w14:paraId="44625B5B" w14:textId="77777777" w:rsidR="00FD727C" w:rsidRPr="002D4C96" w:rsidRDefault="00FD727C" w:rsidP="002D4C96">
            <w:pPr>
              <w:tabs>
                <w:tab w:val="left" w:pos="2126"/>
              </w:tabs>
              <w:rPr>
                <w:rFonts w:ascii="Arial" w:eastAsia="Arial" w:hAnsi="Arial" w:cs="Arial"/>
                <w:sz w:val="18"/>
                <w:szCs w:val="18"/>
              </w:rPr>
            </w:pPr>
          </w:p>
          <w:p w14:paraId="0C578D10" w14:textId="77777777" w:rsidR="00FD727C" w:rsidRPr="002D4C96" w:rsidRDefault="00FD727C" w:rsidP="002D4C96">
            <w:pPr>
              <w:tabs>
                <w:tab w:val="left" w:pos="2126"/>
              </w:tabs>
              <w:rPr>
                <w:rFonts w:ascii="Arial" w:eastAsia="Arial" w:hAnsi="Arial" w:cs="Arial"/>
                <w:sz w:val="18"/>
                <w:szCs w:val="18"/>
              </w:rPr>
            </w:pPr>
          </w:p>
        </w:tc>
      </w:tr>
      <w:tr w:rsidR="00FD727C" w:rsidRPr="002D4C96" w14:paraId="3A02B72E" w14:textId="77777777">
        <w:tc>
          <w:tcPr>
            <w:tcW w:w="9743" w:type="dxa"/>
            <w:gridSpan w:val="4"/>
            <w:shd w:val="clear" w:color="auto" w:fill="D9D9D9"/>
          </w:tcPr>
          <w:p w14:paraId="34B90BB4" w14:textId="77777777" w:rsidR="00FD727C" w:rsidRPr="002D4C96" w:rsidRDefault="00000000" w:rsidP="002D4C96">
            <w:pPr>
              <w:tabs>
                <w:tab w:val="left" w:pos="2126"/>
              </w:tabs>
              <w:rPr>
                <w:rFonts w:ascii="Arial" w:eastAsia="Arial" w:hAnsi="Arial" w:cs="Arial"/>
                <w:b/>
                <w:i/>
                <w:color w:val="005A8C"/>
                <w:sz w:val="18"/>
                <w:szCs w:val="18"/>
              </w:rPr>
            </w:pPr>
            <w:r w:rsidRPr="002D4C96">
              <w:rPr>
                <w:rFonts w:ascii="Arial" w:eastAsia="Arial" w:hAnsi="Arial" w:cs="Arial"/>
                <w:b/>
                <w:color w:val="005A8C"/>
                <w:sz w:val="18"/>
                <w:szCs w:val="18"/>
              </w:rPr>
              <w:t>Proposed Methodology</w:t>
            </w:r>
          </w:p>
        </w:tc>
      </w:tr>
      <w:tr w:rsidR="00FD727C" w:rsidRPr="002D4C96" w14:paraId="107D558F" w14:textId="77777777">
        <w:tc>
          <w:tcPr>
            <w:tcW w:w="1498" w:type="dxa"/>
          </w:tcPr>
          <w:p w14:paraId="153A41CC" w14:textId="77777777" w:rsidR="00FD727C" w:rsidRPr="002D4C96" w:rsidRDefault="00000000" w:rsidP="002D4C96">
            <w:pPr>
              <w:tabs>
                <w:tab w:val="left" w:pos="2126"/>
              </w:tabs>
              <w:rPr>
                <w:rFonts w:ascii="Arial" w:eastAsia="Arial" w:hAnsi="Arial" w:cs="Arial"/>
                <w:color w:val="005A8C"/>
                <w:sz w:val="18"/>
                <w:szCs w:val="18"/>
              </w:rPr>
            </w:pPr>
            <w:r w:rsidRPr="002D4C96">
              <w:rPr>
                <w:rFonts w:ascii="Arial" w:eastAsia="Arial" w:hAnsi="Arial" w:cs="Arial"/>
                <w:color w:val="005A8C"/>
                <w:sz w:val="18"/>
                <w:szCs w:val="18"/>
              </w:rPr>
              <w:t xml:space="preserve">Step-by-Step guide for EO integration into </w:t>
            </w:r>
            <w:r w:rsidRPr="002D4C96">
              <w:rPr>
                <w:rFonts w:ascii="Arial" w:eastAsia="Arial" w:hAnsi="Arial" w:cs="Arial"/>
                <w:color w:val="005A8C"/>
                <w:sz w:val="18"/>
                <w:szCs w:val="18"/>
              </w:rPr>
              <w:lastRenderedPageBreak/>
              <w:t>SDG indicator framework</w:t>
            </w:r>
          </w:p>
        </w:tc>
        <w:tc>
          <w:tcPr>
            <w:tcW w:w="8245" w:type="dxa"/>
            <w:gridSpan w:val="3"/>
          </w:tcPr>
          <w:p w14:paraId="0B9583C2" w14:textId="77777777" w:rsidR="006B1DBD" w:rsidRPr="002D4C96" w:rsidRDefault="006B1DBD" w:rsidP="002D4C96">
            <w:pPr>
              <w:tabs>
                <w:tab w:val="left" w:pos="2126"/>
              </w:tabs>
              <w:rPr>
                <w:rFonts w:ascii="Arial" w:eastAsia="Arial" w:hAnsi="Arial" w:cs="Arial"/>
                <w:sz w:val="18"/>
                <w:szCs w:val="18"/>
              </w:rPr>
            </w:pPr>
            <w:r w:rsidRPr="002D4C96">
              <w:rPr>
                <w:rFonts w:ascii="Arial" w:eastAsia="Arial" w:hAnsi="Arial" w:cs="Arial"/>
                <w:b/>
                <w:sz w:val="18"/>
                <w:szCs w:val="18"/>
                <w:u w:val="single"/>
              </w:rPr>
              <w:lastRenderedPageBreak/>
              <w:t xml:space="preserve">Level 1 Data: </w:t>
            </w:r>
          </w:p>
          <w:p w14:paraId="01EC4FC5" w14:textId="77777777" w:rsidR="006B1DBD" w:rsidRPr="002D4C96" w:rsidRDefault="006B1DBD" w:rsidP="002D4C96">
            <w:pPr>
              <w:tabs>
                <w:tab w:val="left" w:pos="2126"/>
              </w:tabs>
              <w:rPr>
                <w:rFonts w:ascii="Arial" w:eastAsia="Arial" w:hAnsi="Arial" w:cs="Arial"/>
                <w:sz w:val="18"/>
                <w:szCs w:val="18"/>
              </w:rPr>
            </w:pPr>
          </w:p>
          <w:p w14:paraId="61BCE512" w14:textId="77777777" w:rsidR="006B1DBD" w:rsidRPr="002D4C96" w:rsidRDefault="006B1DBD" w:rsidP="002D4C96">
            <w:pPr>
              <w:tabs>
                <w:tab w:val="left" w:pos="2126"/>
              </w:tabs>
              <w:rPr>
                <w:rFonts w:ascii="Arial" w:eastAsia="Arial" w:hAnsi="Arial" w:cs="Arial"/>
                <w:sz w:val="18"/>
                <w:szCs w:val="18"/>
                <w:u w:val="single"/>
              </w:rPr>
            </w:pPr>
            <w:r w:rsidRPr="002D4C96">
              <w:rPr>
                <w:rFonts w:ascii="Arial" w:eastAsia="Arial" w:hAnsi="Arial" w:cs="Arial"/>
                <w:sz w:val="18"/>
                <w:szCs w:val="18"/>
                <w:u w:val="single"/>
              </w:rPr>
              <w:t>The Chlorophyll-a Deviation Modeling Tool</w:t>
            </w:r>
          </w:p>
          <w:p w14:paraId="26ACDFB3" w14:textId="330095B3" w:rsidR="006B1DBD" w:rsidRDefault="006B1DBD" w:rsidP="002D4C96">
            <w:pPr>
              <w:tabs>
                <w:tab w:val="left" w:pos="2126"/>
              </w:tabs>
              <w:rPr>
                <w:rFonts w:ascii="Arial" w:eastAsia="Arial" w:hAnsi="Arial" w:cs="Arial"/>
                <w:sz w:val="18"/>
                <w:szCs w:val="18"/>
              </w:rPr>
            </w:pPr>
            <w:r w:rsidRPr="002D4C96">
              <w:rPr>
                <w:rFonts w:ascii="Arial" w:eastAsia="Arial" w:hAnsi="Arial" w:cs="Arial"/>
                <w:sz w:val="18"/>
                <w:szCs w:val="18"/>
              </w:rPr>
              <w:lastRenderedPageBreak/>
              <w:t xml:space="preserve">The ESA Ocean </w:t>
            </w:r>
            <w:proofErr w:type="spellStart"/>
            <w:r w:rsidRPr="002D4C96">
              <w:rPr>
                <w:rFonts w:ascii="Arial" w:eastAsia="Arial" w:hAnsi="Arial" w:cs="Arial"/>
                <w:sz w:val="18"/>
                <w:szCs w:val="18"/>
              </w:rPr>
              <w:t>Colour</w:t>
            </w:r>
            <w:proofErr w:type="spellEnd"/>
            <w:r w:rsidRPr="002D4C96">
              <w:rPr>
                <w:rFonts w:ascii="Arial" w:eastAsia="Arial" w:hAnsi="Arial" w:cs="Arial"/>
                <w:sz w:val="18"/>
                <w:szCs w:val="18"/>
              </w:rPr>
              <w:t xml:space="preserve"> CCI (OC-CCI) project, led by Plymouth Marine Laboratory (PML), has produced a consistent, merged chlorophyll-a product from </w:t>
            </w:r>
            <w:proofErr w:type="spellStart"/>
            <w:r w:rsidRPr="002D4C96">
              <w:rPr>
                <w:rFonts w:ascii="Arial" w:eastAsia="Arial" w:hAnsi="Arial" w:cs="Arial"/>
                <w:sz w:val="18"/>
                <w:szCs w:val="18"/>
              </w:rPr>
              <w:t>SeaWiFS</w:t>
            </w:r>
            <w:proofErr w:type="spellEnd"/>
            <w:r w:rsidRPr="002D4C96">
              <w:rPr>
                <w:rFonts w:ascii="Arial" w:eastAsia="Arial" w:hAnsi="Arial" w:cs="Arial"/>
                <w:sz w:val="18"/>
                <w:szCs w:val="18"/>
              </w:rPr>
              <w:t>, MODIS, MERIS and VIIRS, spanning the years 1997 to 2019 (</w:t>
            </w:r>
            <w:proofErr w:type="spellStart"/>
            <w:r w:rsidRPr="002D4C96">
              <w:rPr>
                <w:rFonts w:ascii="Arial" w:eastAsia="Arial" w:hAnsi="Arial" w:cs="Arial"/>
                <w:sz w:val="18"/>
                <w:szCs w:val="18"/>
              </w:rPr>
              <w:t>Sathyendranath</w:t>
            </w:r>
            <w:proofErr w:type="spellEnd"/>
            <w:r w:rsidRPr="002D4C96">
              <w:rPr>
                <w:rFonts w:ascii="Arial" w:eastAsia="Arial" w:hAnsi="Arial" w:cs="Arial"/>
                <w:sz w:val="18"/>
                <w:szCs w:val="18"/>
              </w:rPr>
              <w:t xml:space="preserve"> et al., 2018). The merged multi-sensor product will be updated in both time and with data from additional sensors (e.g., OLCI) as part of the Copernicus Climate Change Service (C3S) and the Copernicus Marine Service (CMEMS) that will continue the time series on an operational basis. Future OC-CCI releases will also include algorithmic improvements developed under the CCI+ initiative.</w:t>
            </w:r>
          </w:p>
          <w:p w14:paraId="387BB43E" w14:textId="77777777" w:rsidR="000B4152" w:rsidRPr="002D4C96" w:rsidRDefault="000B4152" w:rsidP="002D4C96">
            <w:pPr>
              <w:tabs>
                <w:tab w:val="left" w:pos="2126"/>
              </w:tabs>
              <w:rPr>
                <w:rFonts w:ascii="Arial" w:eastAsia="Arial" w:hAnsi="Arial" w:cs="Arial"/>
                <w:sz w:val="18"/>
                <w:szCs w:val="18"/>
              </w:rPr>
            </w:pPr>
          </w:p>
          <w:p w14:paraId="510E9FAE" w14:textId="3BA85A5D" w:rsidR="006B1DBD" w:rsidRDefault="006B1DBD" w:rsidP="002D4C96">
            <w:pPr>
              <w:tabs>
                <w:tab w:val="left" w:pos="2126"/>
              </w:tabs>
              <w:rPr>
                <w:rFonts w:ascii="Arial" w:eastAsia="Arial" w:hAnsi="Arial" w:cs="Arial"/>
                <w:sz w:val="18"/>
                <w:szCs w:val="18"/>
              </w:rPr>
            </w:pPr>
            <w:r w:rsidRPr="002D4C96">
              <w:rPr>
                <w:rFonts w:ascii="Arial" w:eastAsia="Arial" w:hAnsi="Arial" w:cs="Arial"/>
                <w:sz w:val="18"/>
                <w:szCs w:val="18"/>
              </w:rPr>
              <w:t>Chlorophyll-a concentrations for this indicator are obtained from the global ocean, 4 km spatial resolution per pixel monthly mean product of the OC-CCI project product for each pixel within a country’s EEZ. For purposes of this sub-indicator, reporting year values are compared to a baseline of years 2000 to 2004. The baseline climatology was calculated as the mean of the 5 years of each month by pixel (e.g., mean of 5 years of January) resulting in a 5 year mean of each calendar month over the period 2000 to 2004.</w:t>
            </w:r>
          </w:p>
          <w:p w14:paraId="449F6C0A" w14:textId="77777777" w:rsidR="000B4152" w:rsidRPr="002D4C96" w:rsidRDefault="000B4152" w:rsidP="002D4C96">
            <w:pPr>
              <w:tabs>
                <w:tab w:val="left" w:pos="2126"/>
              </w:tabs>
              <w:rPr>
                <w:rFonts w:ascii="Arial" w:eastAsia="Arial" w:hAnsi="Arial" w:cs="Arial"/>
                <w:sz w:val="18"/>
                <w:szCs w:val="18"/>
              </w:rPr>
            </w:pPr>
          </w:p>
          <w:p w14:paraId="3910C541" w14:textId="77777777" w:rsidR="006B1DBD" w:rsidRPr="002D4C96" w:rsidRDefault="006B1DBD" w:rsidP="002D4C96">
            <w:pPr>
              <w:tabs>
                <w:tab w:val="left" w:pos="2126"/>
              </w:tabs>
              <w:rPr>
                <w:rFonts w:ascii="Arial" w:eastAsia="Arial" w:hAnsi="Arial" w:cs="Arial"/>
                <w:sz w:val="18"/>
                <w:szCs w:val="18"/>
                <w:u w:val="single"/>
              </w:rPr>
            </w:pPr>
            <w:r w:rsidRPr="002D4C96">
              <w:rPr>
                <w:rFonts w:ascii="Arial" w:eastAsia="Arial" w:hAnsi="Arial" w:cs="Arial"/>
                <w:sz w:val="18"/>
                <w:szCs w:val="18"/>
                <w:u w:val="single"/>
              </w:rPr>
              <w:t xml:space="preserve">The Intra-annual EEZ Chlorophyll-a Anomalies Tool </w:t>
            </w:r>
          </w:p>
          <w:p w14:paraId="536C2FCB" w14:textId="1383E38C" w:rsidR="006B1DBD" w:rsidRPr="002D4C96" w:rsidRDefault="006B1DBD" w:rsidP="002D4C96">
            <w:pPr>
              <w:tabs>
                <w:tab w:val="left" w:pos="2126"/>
              </w:tabs>
              <w:rPr>
                <w:rFonts w:ascii="Arial" w:eastAsia="Arial" w:hAnsi="Arial" w:cs="Arial"/>
                <w:sz w:val="18"/>
                <w:szCs w:val="18"/>
              </w:rPr>
            </w:pPr>
            <w:r w:rsidRPr="002D4C96">
              <w:rPr>
                <w:rFonts w:ascii="Arial" w:eastAsia="Arial" w:hAnsi="Arial" w:cs="Arial"/>
                <w:sz w:val="18"/>
                <w:szCs w:val="18"/>
              </w:rPr>
              <w:t xml:space="preserve">The Intra-annual EEZ Chlorophyll-a anomalies tool was developed to evaluate the intra-annual changes in chlorophyll-a concentration anomalies in each Exclusive Economic Zone (EEZ). It utilizes the NOAA VIIRS chlorophyll-a ratio anomaly product produced daily for the globe at 2 km spatial resolution. The daily global VIIRS chlorophyll-a concentrations are produced from the NOAA Multi-Sensor Level 1 to Level 2 (MSL12) processing of the VIIRS sensor on the Suomi SNPP satellite. </w:t>
            </w:r>
            <w:r w:rsidR="0005554E">
              <w:rPr>
                <w:rFonts w:ascii="Arial" w:eastAsia="Arial" w:hAnsi="Arial" w:cs="Arial"/>
                <w:sz w:val="18"/>
                <w:szCs w:val="18"/>
              </w:rPr>
              <w:t>(</w:t>
            </w:r>
            <w:r w:rsidRPr="002D4C96">
              <w:rPr>
                <w:rFonts w:ascii="Arial" w:eastAsia="Arial" w:hAnsi="Arial" w:cs="Arial"/>
                <w:sz w:val="18"/>
                <w:szCs w:val="18"/>
              </w:rPr>
              <w:t>Wang et al., 2017; Wang et al., 2014</w:t>
            </w:r>
            <w:r w:rsidR="0005554E">
              <w:rPr>
                <w:rFonts w:ascii="Arial" w:eastAsia="Arial" w:hAnsi="Arial" w:cs="Arial"/>
                <w:sz w:val="18"/>
                <w:szCs w:val="18"/>
              </w:rPr>
              <w:t>)</w:t>
            </w:r>
            <w:r w:rsidRPr="002D4C96">
              <w:rPr>
                <w:rFonts w:ascii="Arial" w:eastAsia="Arial" w:hAnsi="Arial" w:cs="Arial"/>
                <w:sz w:val="18"/>
                <w:szCs w:val="18"/>
              </w:rPr>
              <w:t xml:space="preserve"> This anomaly product is defined as the daily chlorophyll-a concentration subtracted from a rolling 61-day mean baseline with a 15 day lag (based on Stumpf et al., 2003), then normalized to the rolling 61 day mean to create the proportional difference anomaly.</w:t>
            </w:r>
          </w:p>
          <w:p w14:paraId="78726F23" w14:textId="77777777" w:rsidR="006B1DBD" w:rsidRPr="002D4C96" w:rsidRDefault="006B1DBD" w:rsidP="002D4C96">
            <w:pPr>
              <w:tabs>
                <w:tab w:val="left" w:pos="2126"/>
              </w:tabs>
              <w:rPr>
                <w:rFonts w:ascii="Arial" w:eastAsia="Arial" w:hAnsi="Arial" w:cs="Arial"/>
                <w:sz w:val="18"/>
                <w:szCs w:val="18"/>
              </w:rPr>
            </w:pPr>
          </w:p>
          <w:p w14:paraId="591E7D3C" w14:textId="77777777" w:rsidR="006B1DBD" w:rsidRPr="002D4C96" w:rsidRDefault="006B1DBD" w:rsidP="002D4C96">
            <w:pPr>
              <w:tabs>
                <w:tab w:val="left" w:pos="2126"/>
              </w:tabs>
              <w:rPr>
                <w:rFonts w:ascii="Arial" w:eastAsia="Arial" w:hAnsi="Arial" w:cs="Arial"/>
                <w:b/>
                <w:sz w:val="18"/>
                <w:szCs w:val="18"/>
                <w:u w:val="single"/>
              </w:rPr>
            </w:pPr>
            <w:r w:rsidRPr="002D4C96">
              <w:rPr>
                <w:rFonts w:ascii="Arial" w:eastAsia="Arial" w:hAnsi="Arial" w:cs="Arial"/>
                <w:b/>
                <w:sz w:val="18"/>
                <w:szCs w:val="18"/>
                <w:u w:val="single"/>
              </w:rPr>
              <w:t xml:space="preserve">Level 2 Data: </w:t>
            </w:r>
          </w:p>
          <w:p w14:paraId="01B759D1" w14:textId="4ABDFB8F" w:rsidR="006B1DBD" w:rsidRPr="002D4C96" w:rsidRDefault="006B1DBD" w:rsidP="002D4C96">
            <w:pPr>
              <w:tabs>
                <w:tab w:val="left" w:pos="2126"/>
              </w:tabs>
              <w:rPr>
                <w:rFonts w:ascii="Arial" w:eastAsia="Arial" w:hAnsi="Arial" w:cs="Arial"/>
                <w:bCs/>
                <w:sz w:val="18"/>
                <w:szCs w:val="18"/>
              </w:rPr>
            </w:pPr>
            <w:r w:rsidRPr="002D4C96">
              <w:rPr>
                <w:rFonts w:ascii="Arial" w:eastAsia="Arial" w:hAnsi="Arial" w:cs="Arial"/>
                <w:bCs/>
                <w:sz w:val="18"/>
                <w:szCs w:val="18"/>
              </w:rPr>
              <w:t xml:space="preserve">To date, two regions, </w:t>
            </w:r>
            <w:r w:rsidR="001463C8" w:rsidRPr="002D4C96">
              <w:rPr>
                <w:rFonts w:ascii="Arial" w:eastAsia="Arial" w:hAnsi="Arial" w:cs="Arial"/>
                <w:bCs/>
                <w:sz w:val="18"/>
                <w:szCs w:val="18"/>
              </w:rPr>
              <w:t>the Northwest Pacific Region (</w:t>
            </w:r>
            <w:r w:rsidRPr="002D4C96">
              <w:rPr>
                <w:rFonts w:ascii="Arial" w:eastAsia="Arial" w:hAnsi="Arial" w:cs="Arial"/>
                <w:bCs/>
                <w:sz w:val="18"/>
                <w:szCs w:val="18"/>
              </w:rPr>
              <w:t>NOWPAP</w:t>
            </w:r>
            <w:r w:rsidR="001463C8" w:rsidRPr="002D4C96">
              <w:rPr>
                <w:rFonts w:ascii="Arial" w:eastAsia="Arial" w:hAnsi="Arial" w:cs="Arial"/>
                <w:bCs/>
                <w:sz w:val="18"/>
                <w:szCs w:val="18"/>
              </w:rPr>
              <w:t>)</w:t>
            </w:r>
            <w:r w:rsidRPr="002D4C96">
              <w:rPr>
                <w:rFonts w:ascii="Arial" w:eastAsia="Arial" w:hAnsi="Arial" w:cs="Arial"/>
                <w:bCs/>
                <w:sz w:val="18"/>
                <w:szCs w:val="18"/>
              </w:rPr>
              <w:t xml:space="preserve"> and Europe, have produced methodologies for using </w:t>
            </w:r>
            <w:r w:rsidR="00442924" w:rsidRPr="002D4C96">
              <w:rPr>
                <w:rFonts w:ascii="Arial" w:eastAsia="Arial" w:hAnsi="Arial" w:cs="Arial"/>
                <w:bCs/>
                <w:sz w:val="18"/>
                <w:szCs w:val="18"/>
              </w:rPr>
              <w:t>regionally tuned</w:t>
            </w:r>
            <w:r w:rsidRPr="002D4C96">
              <w:rPr>
                <w:rFonts w:ascii="Arial" w:eastAsia="Arial" w:hAnsi="Arial" w:cs="Arial"/>
                <w:bCs/>
                <w:sz w:val="18"/>
                <w:szCs w:val="18"/>
              </w:rPr>
              <w:t xml:space="preserve"> satellite data for the Level 2 data. </w:t>
            </w:r>
          </w:p>
          <w:p w14:paraId="33AC2A50" w14:textId="6EE00438" w:rsidR="006B1DBD" w:rsidRPr="002D4C96" w:rsidRDefault="006B1DBD" w:rsidP="002D4C96">
            <w:pPr>
              <w:tabs>
                <w:tab w:val="left" w:pos="2126"/>
              </w:tabs>
              <w:rPr>
                <w:rFonts w:ascii="Arial" w:eastAsia="Arial" w:hAnsi="Arial" w:cs="Arial"/>
                <w:bCs/>
                <w:sz w:val="18"/>
                <w:szCs w:val="18"/>
              </w:rPr>
            </w:pPr>
          </w:p>
          <w:p w14:paraId="09997B93" w14:textId="77777777" w:rsidR="006B1DBD" w:rsidRPr="002D4C96" w:rsidRDefault="006B1DBD" w:rsidP="002D4C96">
            <w:pPr>
              <w:tabs>
                <w:tab w:val="left" w:pos="2126"/>
              </w:tabs>
              <w:rPr>
                <w:rFonts w:ascii="Arial" w:eastAsia="Arial" w:hAnsi="Arial" w:cs="Arial"/>
                <w:bCs/>
                <w:sz w:val="18"/>
                <w:szCs w:val="18"/>
                <w:u w:val="single"/>
              </w:rPr>
            </w:pPr>
            <w:r w:rsidRPr="002D4C96">
              <w:rPr>
                <w:rFonts w:ascii="Arial" w:eastAsia="Arial" w:hAnsi="Arial" w:cs="Arial"/>
                <w:bCs/>
                <w:sz w:val="18"/>
                <w:szCs w:val="18"/>
                <w:u w:val="single"/>
              </w:rPr>
              <w:t>NOWPAP Level 2: Potential eutrophic zones (Chlorophyll-a concentration)</w:t>
            </w:r>
          </w:p>
          <w:p w14:paraId="740C4143" w14:textId="57D01EE0" w:rsidR="000954E5" w:rsidRPr="002D4C96" w:rsidRDefault="006B1DBD" w:rsidP="002D4C96">
            <w:pPr>
              <w:tabs>
                <w:tab w:val="left" w:pos="2126"/>
              </w:tabs>
              <w:rPr>
                <w:rFonts w:ascii="Arial" w:eastAsia="Arial" w:hAnsi="Arial" w:cs="Arial"/>
                <w:bCs/>
                <w:sz w:val="18"/>
                <w:szCs w:val="18"/>
              </w:rPr>
            </w:pPr>
            <w:r w:rsidRPr="002D4C96">
              <w:rPr>
                <w:rFonts w:ascii="Arial" w:eastAsia="Arial" w:hAnsi="Arial" w:cs="Arial"/>
                <w:bCs/>
                <w:sz w:val="18"/>
                <w:szCs w:val="18"/>
              </w:rPr>
              <w:t>This sub-indicator is based on eutrophication based on regionally defined values of chlorophyll-a limits and interannual trend. The indicator data will be derived using regionally tuned algorithms for satellite-derived chlorophyll-a</w:t>
            </w:r>
            <w:r w:rsidR="000954E5" w:rsidRPr="002D4C96">
              <w:rPr>
                <w:rFonts w:ascii="Arial" w:eastAsia="Arial" w:hAnsi="Arial" w:cs="Arial"/>
                <w:bCs/>
                <w:sz w:val="18"/>
                <w:szCs w:val="18"/>
              </w:rPr>
              <w:t xml:space="preserve">. </w:t>
            </w:r>
            <w:r w:rsidR="004915BB" w:rsidRPr="002D4C96">
              <w:rPr>
                <w:rFonts w:ascii="Arial" w:eastAsia="Arial" w:hAnsi="Arial" w:cs="Arial"/>
                <w:bCs/>
                <w:sz w:val="18"/>
                <w:szCs w:val="18"/>
              </w:rPr>
              <w:t xml:space="preserve">For additional information, see </w:t>
            </w:r>
            <w:r w:rsidR="004915BB" w:rsidRPr="002D4C96">
              <w:rPr>
                <w:rFonts w:ascii="Arial" w:hAnsi="Arial" w:cs="Arial"/>
                <w:sz w:val="18"/>
                <w:szCs w:val="18"/>
              </w:rPr>
              <w:t xml:space="preserve">de </w:t>
            </w:r>
            <w:proofErr w:type="spellStart"/>
            <w:r w:rsidR="004915BB" w:rsidRPr="002D4C96">
              <w:rPr>
                <w:rFonts w:ascii="Arial" w:hAnsi="Arial" w:cs="Arial"/>
                <w:sz w:val="18"/>
                <w:szCs w:val="18"/>
              </w:rPr>
              <w:t>Raús</w:t>
            </w:r>
            <w:proofErr w:type="spellEnd"/>
            <w:r w:rsidR="004915BB" w:rsidRPr="002D4C96">
              <w:rPr>
                <w:rFonts w:ascii="Arial" w:hAnsi="Arial" w:cs="Arial"/>
                <w:sz w:val="18"/>
                <w:szCs w:val="18"/>
              </w:rPr>
              <w:t xml:space="preserve"> </w:t>
            </w:r>
            <w:proofErr w:type="spellStart"/>
            <w:r w:rsidR="004915BB" w:rsidRPr="002D4C96">
              <w:rPr>
                <w:rFonts w:ascii="Arial" w:hAnsi="Arial" w:cs="Arial"/>
                <w:sz w:val="18"/>
                <w:szCs w:val="18"/>
              </w:rPr>
              <w:t>Maúre</w:t>
            </w:r>
            <w:proofErr w:type="spellEnd"/>
            <w:r w:rsidR="004915BB" w:rsidRPr="002D4C96">
              <w:rPr>
                <w:rFonts w:ascii="Arial" w:hAnsi="Arial" w:cs="Arial"/>
                <w:sz w:val="18"/>
                <w:szCs w:val="18"/>
              </w:rPr>
              <w:t xml:space="preserve"> et al., 2021. </w:t>
            </w:r>
          </w:p>
          <w:p w14:paraId="4964977D" w14:textId="77777777" w:rsidR="00FB6D32" w:rsidRDefault="00FB6D32" w:rsidP="002D4C96">
            <w:pPr>
              <w:tabs>
                <w:tab w:val="left" w:pos="2126"/>
              </w:tabs>
              <w:rPr>
                <w:rFonts w:ascii="Arial" w:eastAsia="Arial" w:hAnsi="Arial" w:cs="Arial"/>
                <w:bCs/>
                <w:sz w:val="18"/>
                <w:szCs w:val="18"/>
                <w:u w:val="single"/>
              </w:rPr>
            </w:pPr>
          </w:p>
          <w:p w14:paraId="21772517" w14:textId="33147BDD" w:rsidR="006B1DBD" w:rsidRPr="002D4C96" w:rsidRDefault="006B1DBD" w:rsidP="002D4C96">
            <w:pPr>
              <w:tabs>
                <w:tab w:val="left" w:pos="2126"/>
              </w:tabs>
              <w:rPr>
                <w:rFonts w:ascii="Arial" w:eastAsia="Arial" w:hAnsi="Arial" w:cs="Arial"/>
                <w:bCs/>
                <w:sz w:val="18"/>
                <w:szCs w:val="18"/>
                <w:u w:val="single"/>
              </w:rPr>
            </w:pPr>
            <w:r w:rsidRPr="002D4C96">
              <w:rPr>
                <w:rFonts w:ascii="Arial" w:eastAsia="Arial" w:hAnsi="Arial" w:cs="Arial"/>
                <w:bCs/>
                <w:sz w:val="18"/>
                <w:szCs w:val="18"/>
                <w:u w:val="single"/>
              </w:rPr>
              <w:t>European Level 2</w:t>
            </w:r>
          </w:p>
          <w:p w14:paraId="76FAD9AA" w14:textId="29D495AA" w:rsidR="00FD727C" w:rsidRPr="002D4C96" w:rsidRDefault="00C16134" w:rsidP="002D4C96">
            <w:pPr>
              <w:tabs>
                <w:tab w:val="left" w:pos="2126"/>
              </w:tabs>
              <w:rPr>
                <w:rFonts w:ascii="Arial" w:eastAsia="Arial" w:hAnsi="Arial" w:cs="Arial"/>
                <w:sz w:val="18"/>
                <w:szCs w:val="18"/>
              </w:rPr>
            </w:pPr>
            <w:r w:rsidRPr="002D4C96">
              <w:rPr>
                <w:rFonts w:ascii="Arial" w:eastAsia="Arial" w:hAnsi="Arial" w:cs="Arial"/>
                <w:bCs/>
                <w:sz w:val="18"/>
                <w:szCs w:val="18"/>
              </w:rPr>
              <w:t xml:space="preserve">In this method, potential </w:t>
            </w:r>
            <w:proofErr w:type="spellStart"/>
            <w:r w:rsidRPr="002D4C96">
              <w:rPr>
                <w:rFonts w:ascii="Arial" w:eastAsia="Arial" w:hAnsi="Arial" w:cs="Arial"/>
                <w:bCs/>
                <w:sz w:val="18"/>
                <w:szCs w:val="18"/>
              </w:rPr>
              <w:t>eutrophicaton</w:t>
            </w:r>
            <w:proofErr w:type="spellEnd"/>
            <w:r w:rsidRPr="002D4C96">
              <w:rPr>
                <w:rFonts w:ascii="Arial" w:eastAsia="Arial" w:hAnsi="Arial" w:cs="Arial"/>
                <w:bCs/>
                <w:sz w:val="18"/>
                <w:szCs w:val="18"/>
              </w:rPr>
              <w:t xml:space="preserve"> and potential </w:t>
            </w:r>
            <w:proofErr w:type="spellStart"/>
            <w:r w:rsidRPr="002D4C96">
              <w:rPr>
                <w:rFonts w:ascii="Arial" w:eastAsia="Arial" w:hAnsi="Arial" w:cs="Arial"/>
                <w:bCs/>
                <w:sz w:val="18"/>
                <w:szCs w:val="18"/>
              </w:rPr>
              <w:t>oligitrophocation</w:t>
            </w:r>
            <w:proofErr w:type="spellEnd"/>
            <w:r w:rsidRPr="002D4C96">
              <w:rPr>
                <w:rFonts w:ascii="Arial" w:eastAsia="Arial" w:hAnsi="Arial" w:cs="Arial"/>
                <w:bCs/>
                <w:sz w:val="18"/>
                <w:szCs w:val="18"/>
              </w:rPr>
              <w:t xml:space="preserve"> maps are produced using CMEMS Ocean </w:t>
            </w:r>
            <w:proofErr w:type="spellStart"/>
            <w:r w:rsidRPr="002D4C96">
              <w:rPr>
                <w:rFonts w:ascii="Arial" w:eastAsia="Arial" w:hAnsi="Arial" w:cs="Arial"/>
                <w:bCs/>
                <w:sz w:val="18"/>
                <w:szCs w:val="18"/>
              </w:rPr>
              <w:t>Colour</w:t>
            </w:r>
            <w:proofErr w:type="spellEnd"/>
            <w:r w:rsidRPr="002D4C96">
              <w:rPr>
                <w:rFonts w:ascii="Arial" w:eastAsia="Arial" w:hAnsi="Arial" w:cs="Arial"/>
                <w:bCs/>
                <w:sz w:val="18"/>
                <w:szCs w:val="18"/>
              </w:rPr>
              <w:t xml:space="preserve"> regional products. The analysis is based on Padro et al., 2021. The full methodology (Brando et al., in press) will be published shortly in the Journal of Operational Oceanography. </w:t>
            </w:r>
          </w:p>
        </w:tc>
      </w:tr>
      <w:tr w:rsidR="00FD727C" w:rsidRPr="002D4C96" w14:paraId="6B447045" w14:textId="77777777">
        <w:tc>
          <w:tcPr>
            <w:tcW w:w="9743" w:type="dxa"/>
            <w:gridSpan w:val="4"/>
            <w:shd w:val="clear" w:color="auto" w:fill="D9D9D9"/>
          </w:tcPr>
          <w:p w14:paraId="3347F9BC" w14:textId="77777777" w:rsidR="00FD727C" w:rsidRPr="002D4C96" w:rsidRDefault="00000000" w:rsidP="002D4C96">
            <w:pPr>
              <w:tabs>
                <w:tab w:val="left" w:pos="2126"/>
              </w:tabs>
              <w:jc w:val="both"/>
              <w:rPr>
                <w:rFonts w:ascii="Arial" w:eastAsia="Arial" w:hAnsi="Arial" w:cs="Arial"/>
                <w:b/>
                <w:i/>
                <w:color w:val="005A8C"/>
                <w:sz w:val="18"/>
                <w:szCs w:val="18"/>
              </w:rPr>
            </w:pPr>
            <w:bookmarkStart w:id="0" w:name="_heading=h.gjdgxs" w:colFirst="0" w:colLast="0"/>
            <w:bookmarkEnd w:id="0"/>
            <w:r w:rsidRPr="002D4C96">
              <w:rPr>
                <w:rFonts w:ascii="Arial" w:eastAsia="Arial" w:hAnsi="Arial" w:cs="Arial"/>
                <w:b/>
                <w:color w:val="005A8C"/>
                <w:sz w:val="18"/>
                <w:szCs w:val="18"/>
              </w:rPr>
              <w:lastRenderedPageBreak/>
              <w:t>Recommendations for implementation</w:t>
            </w:r>
          </w:p>
        </w:tc>
      </w:tr>
      <w:tr w:rsidR="00FD727C" w:rsidRPr="002D4C96" w14:paraId="2BD458A9" w14:textId="77777777">
        <w:tc>
          <w:tcPr>
            <w:tcW w:w="1498" w:type="dxa"/>
          </w:tcPr>
          <w:p w14:paraId="3B93F224" w14:textId="77777777" w:rsidR="00FD727C" w:rsidRPr="002D4C96" w:rsidRDefault="00000000" w:rsidP="002D4C96">
            <w:pPr>
              <w:tabs>
                <w:tab w:val="left" w:pos="2126"/>
              </w:tabs>
              <w:rPr>
                <w:rFonts w:ascii="Arial" w:eastAsia="Arial" w:hAnsi="Arial" w:cs="Arial"/>
                <w:sz w:val="18"/>
                <w:szCs w:val="18"/>
              </w:rPr>
            </w:pPr>
            <w:r w:rsidRPr="002D4C96">
              <w:rPr>
                <w:rFonts w:ascii="Arial" w:eastAsia="Arial" w:hAnsi="Arial" w:cs="Arial"/>
                <w:color w:val="005A8C"/>
                <w:sz w:val="18"/>
                <w:szCs w:val="18"/>
              </w:rPr>
              <w:t>Activities</w:t>
            </w:r>
          </w:p>
        </w:tc>
        <w:tc>
          <w:tcPr>
            <w:tcW w:w="8245" w:type="dxa"/>
            <w:gridSpan w:val="3"/>
          </w:tcPr>
          <w:p w14:paraId="3B6338E5" w14:textId="7AD00329" w:rsidR="00E4669A" w:rsidRDefault="00F34753" w:rsidP="002D4C96">
            <w:pPr>
              <w:tabs>
                <w:tab w:val="left" w:pos="2126"/>
              </w:tabs>
              <w:rPr>
                <w:rFonts w:ascii="Arial" w:eastAsia="Arial" w:hAnsi="Arial" w:cs="Arial"/>
                <w:sz w:val="18"/>
                <w:szCs w:val="18"/>
              </w:rPr>
            </w:pPr>
            <w:r w:rsidRPr="002D4C96">
              <w:rPr>
                <w:rFonts w:ascii="Arial" w:eastAsia="Arial" w:hAnsi="Arial" w:cs="Arial"/>
                <w:sz w:val="18"/>
                <w:szCs w:val="18"/>
              </w:rPr>
              <w:t xml:space="preserve">The GEO Blue Planet Initiative is currently working with member countries to validate the effectiveness of the Level 1 satellite indicators. Data and visualizations will be continually updated in collaboration with Esri. </w:t>
            </w:r>
            <w:r w:rsidR="00E4669A" w:rsidRPr="002D4C96">
              <w:rPr>
                <w:rFonts w:ascii="Arial" w:eastAsia="Arial" w:hAnsi="Arial" w:cs="Arial"/>
                <w:sz w:val="18"/>
                <w:szCs w:val="18"/>
              </w:rPr>
              <w:t xml:space="preserve">Moving forward, CEOS will be working with GEO Blue Planet to support the development Level 2 satellite products in additional regions. </w:t>
            </w:r>
          </w:p>
          <w:p w14:paraId="19162506" w14:textId="77777777" w:rsidR="00885A7F" w:rsidRPr="002D4C96" w:rsidRDefault="00885A7F" w:rsidP="002D4C96">
            <w:pPr>
              <w:tabs>
                <w:tab w:val="left" w:pos="2126"/>
              </w:tabs>
              <w:rPr>
                <w:rFonts w:ascii="Arial" w:eastAsia="Arial" w:hAnsi="Arial" w:cs="Arial"/>
                <w:sz w:val="18"/>
                <w:szCs w:val="18"/>
              </w:rPr>
            </w:pPr>
          </w:p>
          <w:p w14:paraId="378970B0" w14:textId="2969BBFE" w:rsidR="00E4669A" w:rsidRPr="002D4C96" w:rsidRDefault="00E4669A" w:rsidP="002D4C96">
            <w:pPr>
              <w:tabs>
                <w:tab w:val="left" w:pos="2126"/>
              </w:tabs>
              <w:rPr>
                <w:rFonts w:ascii="Arial" w:eastAsia="Arial" w:hAnsi="Arial" w:cs="Arial"/>
                <w:sz w:val="18"/>
                <w:szCs w:val="18"/>
              </w:rPr>
            </w:pPr>
            <w:r w:rsidRPr="002D4C96">
              <w:rPr>
                <w:rFonts w:ascii="Arial" w:eastAsia="Arial" w:hAnsi="Arial" w:cs="Arial"/>
                <w:sz w:val="18"/>
                <w:szCs w:val="18"/>
              </w:rPr>
              <w:t>If you are interested in working with GEO Blue Planet on the use of the</w:t>
            </w:r>
            <w:r w:rsidRPr="002D4C96">
              <w:rPr>
                <w:rFonts w:ascii="Arial" w:eastAsia="Arial" w:hAnsi="Arial" w:cs="Arial"/>
                <w:sz w:val="18"/>
                <w:szCs w:val="18"/>
              </w:rPr>
              <w:t xml:space="preserve"> use or development of satellite derived eutrophication</w:t>
            </w:r>
            <w:r w:rsidRPr="002D4C96">
              <w:rPr>
                <w:rFonts w:ascii="Arial" w:eastAsia="Arial" w:hAnsi="Arial" w:cs="Arial"/>
                <w:sz w:val="18"/>
                <w:szCs w:val="18"/>
              </w:rPr>
              <w:t xml:space="preserve">, please contact Emily Smail at </w:t>
            </w:r>
            <w:hyperlink r:id="rId16" w:history="1">
              <w:r w:rsidRPr="002D4C96">
                <w:rPr>
                  <w:rStyle w:val="Hyperlink"/>
                  <w:rFonts w:ascii="Arial" w:eastAsia="Arial" w:hAnsi="Arial" w:cs="Arial"/>
                  <w:sz w:val="18"/>
                  <w:szCs w:val="18"/>
                </w:rPr>
                <w:t>emily.smail@noaa.gov</w:t>
              </w:r>
            </w:hyperlink>
            <w:r w:rsidRPr="002D4C96">
              <w:rPr>
                <w:rFonts w:ascii="Arial" w:eastAsia="Arial" w:hAnsi="Arial" w:cs="Arial"/>
                <w:sz w:val="18"/>
                <w:szCs w:val="18"/>
              </w:rPr>
              <w:t>.</w:t>
            </w:r>
          </w:p>
          <w:p w14:paraId="32596DC1" w14:textId="77777777" w:rsidR="00FD727C" w:rsidRPr="002D4C96" w:rsidRDefault="00FD727C" w:rsidP="002D4C96">
            <w:pPr>
              <w:tabs>
                <w:tab w:val="left" w:pos="2126"/>
              </w:tabs>
              <w:rPr>
                <w:rFonts w:ascii="Arial" w:eastAsia="Arial" w:hAnsi="Arial" w:cs="Arial"/>
                <w:sz w:val="18"/>
                <w:szCs w:val="18"/>
              </w:rPr>
            </w:pPr>
          </w:p>
        </w:tc>
      </w:tr>
      <w:tr w:rsidR="00FD727C" w:rsidRPr="002D4C96" w14:paraId="39936556" w14:textId="77777777" w:rsidTr="00786372">
        <w:trPr>
          <w:trHeight w:val="404"/>
        </w:trPr>
        <w:tc>
          <w:tcPr>
            <w:tcW w:w="1498" w:type="dxa"/>
          </w:tcPr>
          <w:p w14:paraId="0C5A132E" w14:textId="77777777" w:rsidR="00FD727C" w:rsidRPr="002D4C96" w:rsidRDefault="00000000" w:rsidP="002D4C96">
            <w:pPr>
              <w:tabs>
                <w:tab w:val="left" w:pos="2126"/>
              </w:tabs>
              <w:rPr>
                <w:rFonts w:ascii="Arial" w:eastAsia="Arial" w:hAnsi="Arial" w:cs="Arial"/>
                <w:sz w:val="18"/>
                <w:szCs w:val="18"/>
              </w:rPr>
            </w:pPr>
            <w:r w:rsidRPr="002D4C96">
              <w:rPr>
                <w:rFonts w:ascii="Arial" w:eastAsia="Arial" w:hAnsi="Arial" w:cs="Arial"/>
                <w:color w:val="005A8C"/>
                <w:sz w:val="18"/>
                <w:szCs w:val="18"/>
              </w:rPr>
              <w:t>Timeframe</w:t>
            </w:r>
          </w:p>
        </w:tc>
        <w:tc>
          <w:tcPr>
            <w:tcW w:w="8245" w:type="dxa"/>
            <w:gridSpan w:val="3"/>
          </w:tcPr>
          <w:p w14:paraId="769E7FA2" w14:textId="7777CCBC" w:rsidR="00FD727C" w:rsidRPr="002D4C96" w:rsidRDefault="00A63719" w:rsidP="002D4C96">
            <w:pPr>
              <w:tabs>
                <w:tab w:val="left" w:pos="1103"/>
              </w:tabs>
              <w:rPr>
                <w:rFonts w:ascii="Arial" w:eastAsia="Arial" w:hAnsi="Arial" w:cs="Arial"/>
                <w:sz w:val="18"/>
                <w:szCs w:val="18"/>
              </w:rPr>
            </w:pPr>
            <w:r w:rsidRPr="002D4C96">
              <w:rPr>
                <w:rFonts w:ascii="Arial" w:eastAsia="Arial" w:hAnsi="Arial" w:cs="Arial"/>
                <w:sz w:val="18"/>
                <w:szCs w:val="18"/>
              </w:rPr>
              <w:t xml:space="preserve">Activities on going. </w:t>
            </w:r>
          </w:p>
        </w:tc>
      </w:tr>
      <w:tr w:rsidR="00FD727C" w:rsidRPr="002D4C96" w14:paraId="688485E1" w14:textId="77777777">
        <w:tc>
          <w:tcPr>
            <w:tcW w:w="1498" w:type="dxa"/>
            <w:shd w:val="clear" w:color="auto" w:fill="D9D9D9"/>
          </w:tcPr>
          <w:p w14:paraId="66A354E7" w14:textId="77777777" w:rsidR="00FD727C" w:rsidRPr="002D4C96" w:rsidRDefault="00000000" w:rsidP="002D4C96">
            <w:pPr>
              <w:tabs>
                <w:tab w:val="left" w:pos="2126"/>
              </w:tabs>
              <w:rPr>
                <w:rFonts w:ascii="Arial" w:eastAsia="Arial" w:hAnsi="Arial" w:cs="Arial"/>
                <w:b/>
                <w:color w:val="005A8C"/>
                <w:sz w:val="18"/>
                <w:szCs w:val="18"/>
              </w:rPr>
            </w:pPr>
            <w:r w:rsidRPr="002D4C96">
              <w:rPr>
                <w:rFonts w:ascii="Arial" w:eastAsia="Arial" w:hAnsi="Arial" w:cs="Arial"/>
                <w:b/>
                <w:color w:val="005A8C"/>
                <w:sz w:val="18"/>
                <w:szCs w:val="18"/>
              </w:rPr>
              <w:t>References</w:t>
            </w:r>
          </w:p>
        </w:tc>
        <w:tc>
          <w:tcPr>
            <w:tcW w:w="8245" w:type="dxa"/>
            <w:gridSpan w:val="3"/>
          </w:tcPr>
          <w:p w14:paraId="565EBB36" w14:textId="77777777" w:rsidR="000C5B84" w:rsidRPr="002D4C96" w:rsidRDefault="000C5B84" w:rsidP="002D4C96">
            <w:pPr>
              <w:tabs>
                <w:tab w:val="left" w:pos="2126"/>
              </w:tabs>
              <w:rPr>
                <w:rFonts w:ascii="Arial" w:eastAsia="Arial" w:hAnsi="Arial" w:cs="Arial"/>
                <w:sz w:val="18"/>
                <w:szCs w:val="18"/>
              </w:rPr>
            </w:pPr>
            <w:r w:rsidRPr="002D4C96">
              <w:rPr>
                <w:rFonts w:ascii="Arial" w:eastAsia="Arial" w:hAnsi="Arial" w:cs="Arial"/>
                <w:sz w:val="18"/>
                <w:szCs w:val="18"/>
              </w:rPr>
              <w:t xml:space="preserve">Brando, V.E., S. Pardo, S. </w:t>
            </w:r>
            <w:proofErr w:type="spellStart"/>
            <w:r w:rsidRPr="002D4C96">
              <w:rPr>
                <w:rFonts w:ascii="Arial" w:eastAsia="Arial" w:hAnsi="Arial" w:cs="Arial"/>
                <w:sz w:val="18"/>
                <w:szCs w:val="18"/>
              </w:rPr>
              <w:t>Sathyendranath</w:t>
            </w:r>
            <w:proofErr w:type="spellEnd"/>
            <w:r w:rsidRPr="002D4C96">
              <w:rPr>
                <w:rFonts w:ascii="Arial" w:eastAsia="Arial" w:hAnsi="Arial" w:cs="Arial"/>
                <w:sz w:val="18"/>
                <w:szCs w:val="18"/>
              </w:rPr>
              <w:t xml:space="preserve">, B. Howey, P. Land, T. Jackson, R. </w:t>
            </w:r>
            <w:proofErr w:type="spellStart"/>
            <w:r w:rsidRPr="002D4C96">
              <w:rPr>
                <w:rFonts w:ascii="Arial" w:eastAsia="Arial" w:hAnsi="Arial" w:cs="Arial"/>
                <w:sz w:val="18"/>
                <w:szCs w:val="18"/>
              </w:rPr>
              <w:t>Santoleri</w:t>
            </w:r>
            <w:proofErr w:type="spellEnd"/>
            <w:r w:rsidRPr="002D4C96">
              <w:rPr>
                <w:rFonts w:ascii="Arial" w:eastAsia="Arial" w:hAnsi="Arial" w:cs="Arial"/>
                <w:sz w:val="18"/>
                <w:szCs w:val="18"/>
              </w:rPr>
              <w:t xml:space="preserve">, M. </w:t>
            </w:r>
            <w:proofErr w:type="spellStart"/>
            <w:r w:rsidRPr="002D4C96">
              <w:rPr>
                <w:rFonts w:ascii="Arial" w:eastAsia="Arial" w:hAnsi="Arial" w:cs="Arial"/>
                <w:sz w:val="18"/>
                <w:szCs w:val="18"/>
              </w:rPr>
              <w:t>Sammartino</w:t>
            </w:r>
            <w:proofErr w:type="spellEnd"/>
            <w:r w:rsidRPr="002D4C96">
              <w:rPr>
                <w:rFonts w:ascii="Arial" w:eastAsia="Arial" w:hAnsi="Arial" w:cs="Arial"/>
                <w:sz w:val="18"/>
                <w:szCs w:val="18"/>
              </w:rPr>
              <w:t xml:space="preserve">, S. Colella, K. von  Schuckmann, </w:t>
            </w:r>
            <w:proofErr w:type="spellStart"/>
            <w:r w:rsidRPr="002D4C96">
              <w:rPr>
                <w:rFonts w:ascii="Arial" w:eastAsia="Arial" w:hAnsi="Arial" w:cs="Arial"/>
                <w:sz w:val="18"/>
                <w:szCs w:val="18"/>
              </w:rPr>
              <w:t>D.Ghafari</w:t>
            </w:r>
            <w:proofErr w:type="spellEnd"/>
            <w:r w:rsidRPr="002D4C96">
              <w:rPr>
                <w:rFonts w:ascii="Arial" w:eastAsia="Arial" w:hAnsi="Arial" w:cs="Arial"/>
                <w:sz w:val="18"/>
                <w:szCs w:val="18"/>
              </w:rPr>
              <w:t xml:space="preserve">, E. Smail, </w:t>
            </w:r>
            <w:proofErr w:type="spellStart"/>
            <w:r w:rsidRPr="002D4C96">
              <w:rPr>
                <w:rFonts w:ascii="Arial" w:eastAsia="Arial" w:hAnsi="Arial" w:cs="Arial"/>
                <w:sz w:val="18"/>
                <w:szCs w:val="18"/>
              </w:rPr>
              <w:t>K.VanGraafeiland</w:t>
            </w:r>
            <w:proofErr w:type="spellEnd"/>
            <w:r w:rsidRPr="002D4C96">
              <w:rPr>
                <w:rFonts w:ascii="Arial" w:eastAsia="Arial" w:hAnsi="Arial" w:cs="Arial"/>
                <w:sz w:val="18"/>
                <w:szCs w:val="18"/>
              </w:rPr>
              <w:t xml:space="preserve">, S. Ramachandran, V.P. Lance, and M. Wang (in press). Potential eutrophication of European waters using satellite derived chlorophyll following the UN Sustainable Development Goal 14 framework. Journal of Operational Oceanography (accepted).  </w:t>
            </w:r>
          </w:p>
          <w:p w14:paraId="5AFAE2E1" w14:textId="1B024819" w:rsidR="000C5B84" w:rsidRPr="002D4C96" w:rsidRDefault="000C5B84" w:rsidP="002D4C96">
            <w:pPr>
              <w:tabs>
                <w:tab w:val="left" w:pos="2126"/>
              </w:tabs>
              <w:rPr>
                <w:rFonts w:ascii="Arial" w:eastAsia="Arial" w:hAnsi="Arial" w:cs="Arial"/>
                <w:sz w:val="18"/>
                <w:szCs w:val="18"/>
              </w:rPr>
            </w:pPr>
          </w:p>
          <w:p w14:paraId="0052CB16" w14:textId="77777777" w:rsidR="000C5B84" w:rsidRPr="002D4C96" w:rsidRDefault="000C5B84" w:rsidP="002D4C96">
            <w:pPr>
              <w:tabs>
                <w:tab w:val="left" w:pos="2126"/>
              </w:tabs>
              <w:rPr>
                <w:rFonts w:ascii="Arial" w:hAnsi="Arial" w:cs="Arial"/>
                <w:sz w:val="18"/>
                <w:szCs w:val="18"/>
              </w:rPr>
            </w:pPr>
            <w:proofErr w:type="spellStart"/>
            <w:r w:rsidRPr="002D4C96">
              <w:rPr>
                <w:rFonts w:ascii="Arial" w:hAnsi="Arial" w:cs="Arial"/>
                <w:sz w:val="18"/>
                <w:szCs w:val="18"/>
              </w:rPr>
              <w:t>Elígio</w:t>
            </w:r>
            <w:proofErr w:type="spellEnd"/>
            <w:r w:rsidRPr="002D4C96">
              <w:rPr>
                <w:rFonts w:ascii="Arial" w:hAnsi="Arial" w:cs="Arial"/>
                <w:sz w:val="18"/>
                <w:szCs w:val="18"/>
              </w:rPr>
              <w:t xml:space="preserve"> de </w:t>
            </w:r>
            <w:proofErr w:type="spellStart"/>
            <w:r w:rsidRPr="002D4C96">
              <w:rPr>
                <w:rFonts w:ascii="Arial" w:hAnsi="Arial" w:cs="Arial"/>
                <w:sz w:val="18"/>
                <w:szCs w:val="18"/>
              </w:rPr>
              <w:t>Raús</w:t>
            </w:r>
            <w:proofErr w:type="spellEnd"/>
            <w:r w:rsidRPr="002D4C96">
              <w:rPr>
                <w:rFonts w:ascii="Arial" w:hAnsi="Arial" w:cs="Arial"/>
                <w:sz w:val="18"/>
                <w:szCs w:val="18"/>
              </w:rPr>
              <w:t xml:space="preserve"> </w:t>
            </w:r>
            <w:proofErr w:type="spellStart"/>
            <w:r w:rsidRPr="002D4C96">
              <w:rPr>
                <w:rFonts w:ascii="Arial" w:hAnsi="Arial" w:cs="Arial"/>
                <w:sz w:val="18"/>
                <w:szCs w:val="18"/>
              </w:rPr>
              <w:t>Maúre</w:t>
            </w:r>
            <w:proofErr w:type="spellEnd"/>
            <w:r w:rsidRPr="002D4C96">
              <w:rPr>
                <w:rFonts w:ascii="Arial" w:hAnsi="Arial" w:cs="Arial"/>
                <w:sz w:val="18"/>
                <w:szCs w:val="18"/>
              </w:rPr>
              <w:t xml:space="preserve"> 1</w:t>
            </w:r>
            <w:r w:rsidRPr="002D4C96">
              <w:rPr>
                <w:rFonts w:ascii="Segoe UI Symbol" w:hAnsi="Segoe UI Symbol" w:cs="Segoe UI Symbol"/>
                <w:sz w:val="18"/>
                <w:szCs w:val="18"/>
              </w:rPr>
              <w:t>✉</w:t>
            </w:r>
            <w:r w:rsidRPr="002D4C96">
              <w:rPr>
                <w:rFonts w:ascii="Arial" w:hAnsi="Arial" w:cs="Arial"/>
                <w:sz w:val="18"/>
                <w:szCs w:val="18"/>
              </w:rPr>
              <w:t xml:space="preserve">, </w:t>
            </w:r>
            <w:proofErr w:type="spellStart"/>
            <w:r w:rsidRPr="002D4C96">
              <w:rPr>
                <w:rFonts w:ascii="Arial" w:hAnsi="Arial" w:cs="Arial"/>
                <w:sz w:val="18"/>
                <w:szCs w:val="18"/>
              </w:rPr>
              <w:t>Genki</w:t>
            </w:r>
            <w:proofErr w:type="spellEnd"/>
            <w:r w:rsidRPr="002D4C96">
              <w:rPr>
                <w:rFonts w:ascii="Arial" w:hAnsi="Arial" w:cs="Arial"/>
                <w:sz w:val="18"/>
                <w:szCs w:val="18"/>
              </w:rPr>
              <w:t xml:space="preserve"> Terauchi1, </w:t>
            </w:r>
            <w:proofErr w:type="spellStart"/>
            <w:r w:rsidRPr="002D4C96">
              <w:rPr>
                <w:rFonts w:ascii="Arial" w:hAnsi="Arial" w:cs="Arial"/>
                <w:sz w:val="18"/>
                <w:szCs w:val="18"/>
              </w:rPr>
              <w:t>Joji</w:t>
            </w:r>
            <w:proofErr w:type="spellEnd"/>
            <w:r w:rsidRPr="002D4C96">
              <w:rPr>
                <w:rFonts w:ascii="Arial" w:hAnsi="Arial" w:cs="Arial"/>
                <w:sz w:val="18"/>
                <w:szCs w:val="18"/>
              </w:rPr>
              <w:t xml:space="preserve"> Ishizaka 2, Nicholas Clinton3 &amp; Michael DeWitt3. 2021. Globally consistent assessment of coastal eutrophication. Nature Communications, 12, Article number: 6142. https://doi.org/10.1038/s41467-021-26391-9.</w:t>
            </w:r>
          </w:p>
          <w:p w14:paraId="0345BD93" w14:textId="77777777" w:rsidR="000C5B84" w:rsidRPr="002D4C96" w:rsidRDefault="000C5B84" w:rsidP="002D4C96">
            <w:pPr>
              <w:tabs>
                <w:tab w:val="left" w:pos="2126"/>
              </w:tabs>
              <w:rPr>
                <w:rFonts w:ascii="Arial" w:hAnsi="Arial" w:cs="Arial"/>
                <w:sz w:val="18"/>
                <w:szCs w:val="18"/>
              </w:rPr>
            </w:pPr>
          </w:p>
          <w:p w14:paraId="258654D2" w14:textId="77777777" w:rsidR="000C5B84" w:rsidRPr="002D4C96" w:rsidRDefault="000C5B84" w:rsidP="002D4C96">
            <w:pPr>
              <w:tabs>
                <w:tab w:val="left" w:pos="2126"/>
              </w:tabs>
              <w:rPr>
                <w:rFonts w:ascii="Arial" w:hAnsi="Arial" w:cs="Arial"/>
                <w:sz w:val="18"/>
                <w:szCs w:val="18"/>
              </w:rPr>
            </w:pPr>
            <w:r w:rsidRPr="002D4C96">
              <w:rPr>
                <w:rFonts w:ascii="Arial" w:hAnsi="Arial" w:cs="Arial"/>
                <w:sz w:val="18"/>
                <w:szCs w:val="18"/>
              </w:rPr>
              <w:t xml:space="preserve">Pardo, S. </w:t>
            </w:r>
            <w:proofErr w:type="spellStart"/>
            <w:r w:rsidRPr="002D4C96">
              <w:rPr>
                <w:rFonts w:ascii="Arial" w:hAnsi="Arial" w:cs="Arial"/>
                <w:sz w:val="18"/>
                <w:szCs w:val="18"/>
              </w:rPr>
              <w:t>Sathyendranath</w:t>
            </w:r>
            <w:proofErr w:type="spellEnd"/>
            <w:r w:rsidRPr="002D4C96">
              <w:rPr>
                <w:rFonts w:ascii="Arial" w:hAnsi="Arial" w:cs="Arial"/>
                <w:sz w:val="18"/>
                <w:szCs w:val="18"/>
              </w:rPr>
              <w:t>, S., Platt, T. (2021) 2.4 Eutrophic and oligotrophic indicators for the North Atlantic Ocean. Journal of Operational Oceanography, 14, No. S1,1, 1-185. https://doi.org/10.1080/1755876X.2021.194624.</w:t>
            </w:r>
          </w:p>
          <w:p w14:paraId="2D5FFC4C" w14:textId="77777777" w:rsidR="000C5B84" w:rsidRPr="002D4C96" w:rsidRDefault="000C5B84" w:rsidP="002D4C96">
            <w:pPr>
              <w:tabs>
                <w:tab w:val="left" w:pos="2126"/>
              </w:tabs>
              <w:rPr>
                <w:rFonts w:ascii="Arial" w:eastAsia="Arial" w:hAnsi="Arial" w:cs="Arial"/>
                <w:sz w:val="18"/>
                <w:szCs w:val="18"/>
              </w:rPr>
            </w:pPr>
          </w:p>
          <w:p w14:paraId="5ED17226" w14:textId="65DEBF5B" w:rsidR="005648C9" w:rsidRPr="002D4C96" w:rsidRDefault="005648C9" w:rsidP="002D4C96">
            <w:pPr>
              <w:tabs>
                <w:tab w:val="left" w:pos="2126"/>
              </w:tabs>
              <w:rPr>
                <w:rFonts w:ascii="Arial" w:eastAsia="Arial" w:hAnsi="Arial" w:cs="Arial"/>
                <w:sz w:val="18"/>
                <w:szCs w:val="18"/>
              </w:rPr>
            </w:pPr>
            <w:r w:rsidRPr="002D4C96">
              <w:rPr>
                <w:rFonts w:ascii="Arial" w:eastAsia="Arial" w:hAnsi="Arial" w:cs="Arial"/>
                <w:sz w:val="18"/>
                <w:szCs w:val="18"/>
              </w:rPr>
              <w:t xml:space="preserve">United Nations Environment </w:t>
            </w:r>
            <w:proofErr w:type="spellStart"/>
            <w:r w:rsidRPr="002D4C96">
              <w:rPr>
                <w:rFonts w:ascii="Arial" w:eastAsia="Arial" w:hAnsi="Arial" w:cs="Arial"/>
                <w:sz w:val="18"/>
                <w:szCs w:val="18"/>
              </w:rPr>
              <w:t>Programme</w:t>
            </w:r>
            <w:proofErr w:type="spellEnd"/>
            <w:r w:rsidRPr="002D4C96">
              <w:rPr>
                <w:rFonts w:ascii="Arial" w:eastAsia="Arial" w:hAnsi="Arial" w:cs="Arial"/>
                <w:sz w:val="18"/>
                <w:szCs w:val="18"/>
              </w:rPr>
              <w:t xml:space="preserve"> (2021). Understanding the State of the Ocean: </w:t>
            </w:r>
          </w:p>
          <w:p w14:paraId="3BF545AF" w14:textId="61FAC74A" w:rsidR="00FD727C" w:rsidRDefault="005648C9" w:rsidP="002D4C96">
            <w:pPr>
              <w:tabs>
                <w:tab w:val="left" w:pos="2126"/>
              </w:tabs>
              <w:rPr>
                <w:rFonts w:ascii="Arial" w:eastAsia="Arial" w:hAnsi="Arial" w:cs="Arial"/>
                <w:sz w:val="18"/>
                <w:szCs w:val="18"/>
              </w:rPr>
            </w:pPr>
            <w:r w:rsidRPr="002D4C96">
              <w:rPr>
                <w:rFonts w:ascii="Arial" w:eastAsia="Arial" w:hAnsi="Arial" w:cs="Arial"/>
                <w:sz w:val="18"/>
                <w:szCs w:val="18"/>
              </w:rPr>
              <w:t>A Global Manual on Measuring SDG 14.1.1, SDG 14.2.1 and SDG 14.5.1. Nairobi</w:t>
            </w:r>
            <w:r w:rsidRPr="002D4C96">
              <w:rPr>
                <w:rFonts w:ascii="Arial" w:eastAsia="Arial" w:hAnsi="Arial" w:cs="Arial"/>
                <w:sz w:val="18"/>
                <w:szCs w:val="18"/>
              </w:rPr>
              <w:t xml:space="preserve">. </w:t>
            </w:r>
          </w:p>
          <w:p w14:paraId="6CBC5199" w14:textId="77777777" w:rsidR="003A28B8" w:rsidRPr="002D4C96" w:rsidRDefault="003A28B8" w:rsidP="002D4C96">
            <w:pPr>
              <w:tabs>
                <w:tab w:val="left" w:pos="2126"/>
              </w:tabs>
              <w:rPr>
                <w:rFonts w:ascii="Arial" w:eastAsia="Arial" w:hAnsi="Arial" w:cs="Arial"/>
                <w:sz w:val="18"/>
                <w:szCs w:val="18"/>
              </w:rPr>
            </w:pPr>
          </w:p>
          <w:p w14:paraId="6B0474A6" w14:textId="551ECEB7" w:rsidR="003A28B8" w:rsidRDefault="003A28B8" w:rsidP="003A28B8">
            <w:pPr>
              <w:tabs>
                <w:tab w:val="left" w:pos="2126"/>
              </w:tabs>
              <w:rPr>
                <w:rFonts w:ascii="Arial" w:eastAsia="Arial" w:hAnsi="Arial" w:cs="Arial"/>
                <w:sz w:val="18"/>
                <w:szCs w:val="18"/>
              </w:rPr>
            </w:pPr>
            <w:r w:rsidRPr="003A28B8">
              <w:rPr>
                <w:rFonts w:ascii="Arial" w:eastAsia="Arial" w:hAnsi="Arial" w:cs="Arial"/>
                <w:sz w:val="18"/>
                <w:szCs w:val="18"/>
              </w:rPr>
              <w:lastRenderedPageBreak/>
              <w:t>Wang, M., X. Liu, L. Jiang and S. Son (2017), The VIIRS Ocean Color Product Algorithm Theoretical Basis Document, National Oceanic and Atmospheric Administration, National Environmental Satellite and Data Information Service, 68 pp</w:t>
            </w:r>
            <w:r>
              <w:rPr>
                <w:rFonts w:ascii="Arial" w:eastAsia="Arial" w:hAnsi="Arial" w:cs="Arial"/>
                <w:sz w:val="18"/>
                <w:szCs w:val="18"/>
              </w:rPr>
              <w:t xml:space="preserve">.  </w:t>
            </w:r>
          </w:p>
          <w:p w14:paraId="729388FD" w14:textId="77777777" w:rsidR="003A28B8" w:rsidRDefault="003A28B8" w:rsidP="003A28B8">
            <w:pPr>
              <w:tabs>
                <w:tab w:val="left" w:pos="2126"/>
              </w:tabs>
              <w:rPr>
                <w:rFonts w:ascii="Arial" w:eastAsia="Arial" w:hAnsi="Arial" w:cs="Arial"/>
                <w:sz w:val="18"/>
                <w:szCs w:val="18"/>
              </w:rPr>
            </w:pPr>
          </w:p>
          <w:p w14:paraId="62AB8119" w14:textId="0191DE65" w:rsidR="003A28B8" w:rsidRPr="002D4C96" w:rsidRDefault="003A28B8" w:rsidP="003A28B8">
            <w:pPr>
              <w:tabs>
                <w:tab w:val="left" w:pos="2126"/>
              </w:tabs>
              <w:rPr>
                <w:rFonts w:ascii="Arial" w:eastAsia="Arial" w:hAnsi="Arial" w:cs="Arial"/>
                <w:sz w:val="18"/>
                <w:szCs w:val="18"/>
              </w:rPr>
            </w:pPr>
            <w:r w:rsidRPr="003A28B8">
              <w:rPr>
                <w:rFonts w:ascii="Arial" w:eastAsia="Arial" w:hAnsi="Arial" w:cs="Arial"/>
                <w:sz w:val="18"/>
                <w:szCs w:val="18"/>
              </w:rPr>
              <w:t xml:space="preserve">Wang, M., X. Liu, L. Jiang, S. Son, J. Sun, W. Shi, L. Tan, P. Naik, K. </w:t>
            </w:r>
            <w:proofErr w:type="spellStart"/>
            <w:r w:rsidRPr="003A28B8">
              <w:rPr>
                <w:rFonts w:ascii="Arial" w:eastAsia="Arial" w:hAnsi="Arial" w:cs="Arial"/>
                <w:sz w:val="18"/>
                <w:szCs w:val="18"/>
              </w:rPr>
              <w:t>Mikelsons</w:t>
            </w:r>
            <w:proofErr w:type="spellEnd"/>
            <w:r w:rsidRPr="003A28B8">
              <w:rPr>
                <w:rFonts w:ascii="Arial" w:eastAsia="Arial" w:hAnsi="Arial" w:cs="Arial"/>
                <w:sz w:val="18"/>
                <w:szCs w:val="18"/>
              </w:rPr>
              <w:t>, X. Wang and V. Lance (2014), Evaluation of VIIRS Ocean Color Products, Proc. SPIE 9261, 92610E</w:t>
            </w:r>
            <w:r>
              <w:rPr>
                <w:rFonts w:ascii="Arial" w:eastAsia="Arial" w:hAnsi="Arial" w:cs="Arial"/>
                <w:sz w:val="18"/>
                <w:szCs w:val="18"/>
              </w:rPr>
              <w:t>. https://</w:t>
            </w:r>
            <w:r w:rsidRPr="003A28B8">
              <w:rPr>
                <w:rFonts w:ascii="Arial" w:eastAsia="Arial" w:hAnsi="Arial" w:cs="Arial"/>
                <w:sz w:val="18"/>
                <w:szCs w:val="18"/>
              </w:rPr>
              <w:t>10.1117/12.2069251.</w:t>
            </w:r>
          </w:p>
        </w:tc>
      </w:tr>
    </w:tbl>
    <w:p w14:paraId="3F10F4DC" w14:textId="77777777" w:rsidR="00FD727C" w:rsidRPr="002D4C96" w:rsidRDefault="00FD727C" w:rsidP="002D4C96">
      <w:pPr>
        <w:rPr>
          <w:rFonts w:ascii="Arial" w:hAnsi="Arial" w:cs="Arial"/>
          <w:sz w:val="18"/>
          <w:szCs w:val="18"/>
        </w:rPr>
      </w:pPr>
    </w:p>
    <w:sectPr w:rsidR="00FD727C" w:rsidRPr="002D4C96">
      <w:headerReference w:type="default" r:id="rId17"/>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FF39" w14:textId="77777777" w:rsidR="00B30DF0" w:rsidRDefault="00B30DF0">
      <w:r>
        <w:separator/>
      </w:r>
    </w:p>
  </w:endnote>
  <w:endnote w:type="continuationSeparator" w:id="0">
    <w:p w14:paraId="605F893F" w14:textId="77777777" w:rsidR="00B30DF0" w:rsidRDefault="00B3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7F42" w14:textId="77777777" w:rsidR="00B30DF0" w:rsidRDefault="00B30DF0">
      <w:r>
        <w:separator/>
      </w:r>
    </w:p>
  </w:footnote>
  <w:footnote w:type="continuationSeparator" w:id="0">
    <w:p w14:paraId="75650A60" w14:textId="77777777" w:rsidR="00B30DF0" w:rsidRDefault="00B3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D1F2" w14:textId="0A175676" w:rsidR="00FD727C" w:rsidRDefault="00000000">
    <w:pPr>
      <w:pBdr>
        <w:top w:val="nil"/>
        <w:left w:val="nil"/>
        <w:bottom w:val="nil"/>
        <w:right w:val="nil"/>
        <w:between w:val="nil"/>
      </w:pBdr>
      <w:tabs>
        <w:tab w:val="center" w:pos="4513"/>
        <w:tab w:val="right" w:pos="9026"/>
      </w:tabs>
      <w:rPr>
        <w:i/>
        <w:color w:val="000000"/>
        <w:sz w:val="22"/>
        <w:szCs w:val="22"/>
      </w:rPr>
    </w:pPr>
    <w:r>
      <w:rPr>
        <w:color w:val="000000"/>
      </w:rPr>
      <w:tab/>
    </w:r>
    <w:r>
      <w:rPr>
        <w:i/>
        <w:color w:val="000000"/>
        <w:sz w:val="22"/>
        <w:szCs w:val="22"/>
      </w:rPr>
      <w:t xml:space="preserve">Indicator Support Sheet 14.1.1, Draft 0.1, </w:t>
    </w:r>
    <w:r w:rsidR="00F57795">
      <w:rPr>
        <w:i/>
        <w:color w:val="000000"/>
        <w:sz w:val="22"/>
        <w:szCs w:val="22"/>
      </w:rPr>
      <w:t>08</w:t>
    </w:r>
    <w:r>
      <w:rPr>
        <w:i/>
        <w:color w:val="000000"/>
        <w:sz w:val="22"/>
        <w:szCs w:val="22"/>
      </w:rPr>
      <w:t>/</w:t>
    </w:r>
    <w:r w:rsidR="00F57795">
      <w:rPr>
        <w:i/>
        <w:color w:val="000000"/>
        <w:sz w:val="22"/>
        <w:szCs w:val="22"/>
      </w:rPr>
      <w:t>31</w:t>
    </w:r>
    <w:r>
      <w:rPr>
        <w:i/>
        <w:color w:val="000000"/>
        <w:sz w:val="22"/>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04862"/>
    <w:multiLevelType w:val="hybridMultilevel"/>
    <w:tmpl w:val="2F1C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6596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7C"/>
    <w:rsid w:val="0001219F"/>
    <w:rsid w:val="0003682F"/>
    <w:rsid w:val="0005554E"/>
    <w:rsid w:val="000954E5"/>
    <w:rsid w:val="000B4152"/>
    <w:rsid w:val="000C5B84"/>
    <w:rsid w:val="001463C8"/>
    <w:rsid w:val="001E629E"/>
    <w:rsid w:val="00230226"/>
    <w:rsid w:val="00234C87"/>
    <w:rsid w:val="00251236"/>
    <w:rsid w:val="002823F4"/>
    <w:rsid w:val="002D4C96"/>
    <w:rsid w:val="00322B12"/>
    <w:rsid w:val="003A28B8"/>
    <w:rsid w:val="00442924"/>
    <w:rsid w:val="00476590"/>
    <w:rsid w:val="004915BB"/>
    <w:rsid w:val="004D126C"/>
    <w:rsid w:val="005263D8"/>
    <w:rsid w:val="00560910"/>
    <w:rsid w:val="005648C9"/>
    <w:rsid w:val="00584FE2"/>
    <w:rsid w:val="005B3AB0"/>
    <w:rsid w:val="005E64D7"/>
    <w:rsid w:val="006B1DBD"/>
    <w:rsid w:val="00786372"/>
    <w:rsid w:val="007F2A18"/>
    <w:rsid w:val="0080368B"/>
    <w:rsid w:val="0080502A"/>
    <w:rsid w:val="00885A7F"/>
    <w:rsid w:val="00953FF8"/>
    <w:rsid w:val="0099089B"/>
    <w:rsid w:val="009C763F"/>
    <w:rsid w:val="009F5B4A"/>
    <w:rsid w:val="009F711B"/>
    <w:rsid w:val="00A63719"/>
    <w:rsid w:val="00B03A25"/>
    <w:rsid w:val="00B30DF0"/>
    <w:rsid w:val="00BD4029"/>
    <w:rsid w:val="00C0723B"/>
    <w:rsid w:val="00C16134"/>
    <w:rsid w:val="00C87190"/>
    <w:rsid w:val="00C9408B"/>
    <w:rsid w:val="00CC3A7F"/>
    <w:rsid w:val="00CD3DA0"/>
    <w:rsid w:val="00E07B61"/>
    <w:rsid w:val="00E4669A"/>
    <w:rsid w:val="00E53555"/>
    <w:rsid w:val="00EA2279"/>
    <w:rsid w:val="00F245F5"/>
    <w:rsid w:val="00F34753"/>
    <w:rsid w:val="00F425A1"/>
    <w:rsid w:val="00F57795"/>
    <w:rsid w:val="00FB6D32"/>
    <w:rsid w:val="00FD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152A"/>
  <w15:docId w15:val="{FFE970BF-0C79-41DF-89C4-52DEB66D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36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0B3D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autoRedefine/>
    <w:qFormat/>
    <w:rsid w:val="00786061"/>
    <w:pPr>
      <w:tabs>
        <w:tab w:val="left" w:pos="1559"/>
        <w:tab w:val="left" w:pos="1985"/>
      </w:tabs>
      <w:spacing w:after="200" w:line="240" w:lineRule="atLeast"/>
      <w:ind w:left="1134"/>
      <w:jc w:val="both"/>
    </w:pPr>
    <w:rPr>
      <w:rFonts w:ascii="Arial" w:hAnsi="Arial"/>
      <w:szCs w:val="22"/>
    </w:rPr>
  </w:style>
  <w:style w:type="character" w:customStyle="1" w:styleId="BodyTextChar">
    <w:name w:val="Body Text Char"/>
    <w:basedOn w:val="DefaultParagraphFont"/>
    <w:link w:val="BodyText"/>
    <w:rsid w:val="00786061"/>
    <w:rPr>
      <w:rFonts w:ascii="Arial" w:hAnsi="Arial"/>
      <w:szCs w:val="22"/>
    </w:rPr>
  </w:style>
  <w:style w:type="table" w:styleId="TableGrid">
    <w:name w:val="Table Grid"/>
    <w:basedOn w:val="TableNormal"/>
    <w:rsid w:val="0002778B"/>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D62"/>
    <w:rPr>
      <w:color w:val="0563C1" w:themeColor="hyperlink"/>
      <w:u w:val="single"/>
    </w:rPr>
  </w:style>
  <w:style w:type="paragraph" w:styleId="FootnoteText">
    <w:name w:val="footnote text"/>
    <w:basedOn w:val="Normal"/>
    <w:link w:val="FootnoteTextChar"/>
    <w:uiPriority w:val="99"/>
    <w:unhideWhenUsed/>
    <w:rsid w:val="002F3C65"/>
  </w:style>
  <w:style w:type="character" w:customStyle="1" w:styleId="FootnoteTextChar">
    <w:name w:val="Footnote Text Char"/>
    <w:basedOn w:val="DefaultParagraphFont"/>
    <w:link w:val="FootnoteText"/>
    <w:uiPriority w:val="99"/>
    <w:rsid w:val="002F3C65"/>
  </w:style>
  <w:style w:type="character" w:styleId="FootnoteReference">
    <w:name w:val="footnote reference"/>
    <w:basedOn w:val="DefaultParagraphFont"/>
    <w:uiPriority w:val="99"/>
    <w:unhideWhenUsed/>
    <w:rsid w:val="002F3C65"/>
    <w:rPr>
      <w:vertAlign w:val="superscript"/>
    </w:rPr>
  </w:style>
  <w:style w:type="paragraph" w:styleId="Footer">
    <w:name w:val="footer"/>
    <w:basedOn w:val="Normal"/>
    <w:link w:val="FooterChar"/>
    <w:uiPriority w:val="99"/>
    <w:unhideWhenUsed/>
    <w:rsid w:val="002F3C65"/>
    <w:pPr>
      <w:tabs>
        <w:tab w:val="center" w:pos="4513"/>
        <w:tab w:val="right" w:pos="9026"/>
      </w:tabs>
    </w:pPr>
  </w:style>
  <w:style w:type="character" w:customStyle="1" w:styleId="FooterChar">
    <w:name w:val="Footer Char"/>
    <w:basedOn w:val="DefaultParagraphFont"/>
    <w:link w:val="Footer"/>
    <w:uiPriority w:val="99"/>
    <w:rsid w:val="002F3C65"/>
  </w:style>
  <w:style w:type="character" w:styleId="FollowedHyperlink">
    <w:name w:val="FollowedHyperlink"/>
    <w:basedOn w:val="DefaultParagraphFont"/>
    <w:uiPriority w:val="99"/>
    <w:semiHidden/>
    <w:unhideWhenUsed/>
    <w:rsid w:val="00387F65"/>
    <w:rPr>
      <w:color w:val="954F72" w:themeColor="followedHyperlink"/>
      <w:u w:val="single"/>
    </w:rPr>
  </w:style>
  <w:style w:type="paragraph" w:styleId="Header">
    <w:name w:val="header"/>
    <w:basedOn w:val="Normal"/>
    <w:link w:val="HeaderChar"/>
    <w:uiPriority w:val="99"/>
    <w:unhideWhenUsed/>
    <w:rsid w:val="00FF0850"/>
    <w:pPr>
      <w:tabs>
        <w:tab w:val="center" w:pos="4513"/>
        <w:tab w:val="right" w:pos="9026"/>
      </w:tabs>
    </w:pPr>
  </w:style>
  <w:style w:type="character" w:customStyle="1" w:styleId="HeaderChar">
    <w:name w:val="Header Char"/>
    <w:basedOn w:val="DefaultParagraphFont"/>
    <w:link w:val="Header"/>
    <w:uiPriority w:val="99"/>
    <w:rsid w:val="00FF0850"/>
  </w:style>
  <w:style w:type="character" w:styleId="CommentReference">
    <w:name w:val="annotation reference"/>
    <w:basedOn w:val="DefaultParagraphFont"/>
    <w:uiPriority w:val="99"/>
    <w:semiHidden/>
    <w:unhideWhenUsed/>
    <w:rsid w:val="003C4D07"/>
    <w:rPr>
      <w:sz w:val="16"/>
      <w:szCs w:val="16"/>
    </w:rPr>
  </w:style>
  <w:style w:type="paragraph" w:styleId="CommentText">
    <w:name w:val="annotation text"/>
    <w:basedOn w:val="Normal"/>
    <w:link w:val="CommentTextChar"/>
    <w:uiPriority w:val="99"/>
    <w:unhideWhenUsed/>
    <w:rsid w:val="003C4D07"/>
    <w:rPr>
      <w:sz w:val="20"/>
      <w:szCs w:val="20"/>
    </w:rPr>
  </w:style>
  <w:style w:type="character" w:customStyle="1" w:styleId="CommentTextChar">
    <w:name w:val="Comment Text Char"/>
    <w:basedOn w:val="DefaultParagraphFont"/>
    <w:link w:val="CommentText"/>
    <w:uiPriority w:val="99"/>
    <w:rsid w:val="003C4D07"/>
    <w:rPr>
      <w:sz w:val="20"/>
      <w:szCs w:val="20"/>
    </w:rPr>
  </w:style>
  <w:style w:type="paragraph" w:styleId="CommentSubject">
    <w:name w:val="annotation subject"/>
    <w:basedOn w:val="CommentText"/>
    <w:next w:val="CommentText"/>
    <w:link w:val="CommentSubjectChar"/>
    <w:uiPriority w:val="99"/>
    <w:semiHidden/>
    <w:unhideWhenUsed/>
    <w:rsid w:val="003C4D07"/>
    <w:rPr>
      <w:b/>
      <w:bCs/>
    </w:rPr>
  </w:style>
  <w:style w:type="character" w:customStyle="1" w:styleId="CommentSubjectChar">
    <w:name w:val="Comment Subject Char"/>
    <w:basedOn w:val="CommentTextChar"/>
    <w:link w:val="CommentSubject"/>
    <w:uiPriority w:val="99"/>
    <w:semiHidden/>
    <w:rsid w:val="003C4D07"/>
    <w:rPr>
      <w:b/>
      <w:bCs/>
      <w:sz w:val="20"/>
      <w:szCs w:val="20"/>
    </w:rPr>
  </w:style>
  <w:style w:type="paragraph" w:styleId="BalloonText">
    <w:name w:val="Balloon Text"/>
    <w:basedOn w:val="Normal"/>
    <w:link w:val="BalloonTextChar"/>
    <w:uiPriority w:val="99"/>
    <w:semiHidden/>
    <w:unhideWhenUsed/>
    <w:rsid w:val="003C4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07"/>
    <w:rPr>
      <w:rFonts w:ascii="Segoe UI" w:hAnsi="Segoe UI" w:cs="Segoe UI"/>
      <w:sz w:val="18"/>
      <w:szCs w:val="18"/>
    </w:rPr>
  </w:style>
  <w:style w:type="paragraph" w:customStyle="1" w:styleId="Default">
    <w:name w:val="Default"/>
    <w:rsid w:val="00006204"/>
    <w:pPr>
      <w:autoSpaceDE w:val="0"/>
      <w:autoSpaceDN w:val="0"/>
      <w:adjustRightInd w:val="0"/>
    </w:pPr>
    <w:rPr>
      <w:color w:val="000000"/>
      <w:lang w:val="da-DK"/>
    </w:rPr>
  </w:style>
  <w:style w:type="table" w:styleId="GridTable5Dark-Accent6">
    <w:name w:val="Grid Table 5 Dark Accent 6"/>
    <w:basedOn w:val="TableNormal"/>
    <w:uiPriority w:val="50"/>
    <w:rsid w:val="00853E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1">
    <w:name w:val="Grid Table 5 Dark Accent 1"/>
    <w:basedOn w:val="TableNormal"/>
    <w:uiPriority w:val="50"/>
    <w:rsid w:val="00853E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UnresolvedMention1">
    <w:name w:val="Unresolved Mention1"/>
    <w:basedOn w:val="DefaultParagraphFont"/>
    <w:uiPriority w:val="99"/>
    <w:rsid w:val="00945C00"/>
    <w:rPr>
      <w:color w:val="808080"/>
      <w:shd w:val="clear" w:color="auto" w:fill="E6E6E6"/>
    </w:rPr>
  </w:style>
  <w:style w:type="paragraph" w:styleId="ListParagraph">
    <w:name w:val="List Paragraph"/>
    <w:basedOn w:val="Normal"/>
    <w:uiPriority w:val="34"/>
    <w:qFormat/>
    <w:rsid w:val="00F87C8A"/>
    <w:pPr>
      <w:ind w:left="720"/>
      <w:contextualSpacing/>
    </w:pPr>
  </w:style>
  <w:style w:type="paragraph" w:styleId="NormalWeb">
    <w:name w:val="Normal (Web)"/>
    <w:basedOn w:val="Normal"/>
    <w:uiPriority w:val="99"/>
    <w:unhideWhenUsed/>
    <w:rsid w:val="006F1244"/>
    <w:pPr>
      <w:spacing w:before="100" w:beforeAutospacing="1" w:after="100" w:afterAutospacing="1"/>
    </w:pPr>
    <w:rPr>
      <w:rFonts w:ascii="Times New Roman" w:eastAsia="Times New Roman" w:hAnsi="Times New Roman" w:cs="Times New Roman"/>
      <w:lang w:val="da-DK" w:eastAsia="da-DK"/>
    </w:rPr>
  </w:style>
  <w:style w:type="character" w:styleId="UnresolvedMention">
    <w:name w:val="Unresolved Mention"/>
    <w:basedOn w:val="DefaultParagraphFont"/>
    <w:uiPriority w:val="99"/>
    <w:semiHidden/>
    <w:unhideWhenUsed/>
    <w:rsid w:val="003142A6"/>
    <w:rPr>
      <w:color w:val="605E5C"/>
      <w:shd w:val="clear" w:color="auto" w:fill="E1DFDD"/>
    </w:rPr>
  </w:style>
  <w:style w:type="paragraph" w:styleId="Revision">
    <w:name w:val="Revision"/>
    <w:hidden/>
    <w:uiPriority w:val="99"/>
    <w:semiHidden/>
    <w:rsid w:val="00C02FB0"/>
  </w:style>
  <w:style w:type="table" w:styleId="GridTable4-Accent1">
    <w:name w:val="Grid Table 4 Accent 1"/>
    <w:basedOn w:val="TableNormal"/>
    <w:uiPriority w:val="49"/>
    <w:rsid w:val="005411D9"/>
    <w:rPr>
      <w:sz w:val="22"/>
      <w:szCs w:val="22"/>
      <w:lang w:val="da-D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214C0B"/>
    <w:rPr>
      <w:color w:val="808080"/>
    </w:rPr>
  </w:style>
  <w:style w:type="table" w:styleId="GridTable4-Accent2">
    <w:name w:val="Grid Table 4 Accent 2"/>
    <w:basedOn w:val="TableNormal"/>
    <w:uiPriority w:val="49"/>
    <w:rsid w:val="0023157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2Char">
    <w:name w:val="Heading 2 Char"/>
    <w:basedOn w:val="DefaultParagraphFont"/>
    <w:link w:val="Heading2"/>
    <w:uiPriority w:val="9"/>
    <w:rsid w:val="000B3DDC"/>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56983">
      <w:bodyDiv w:val="1"/>
      <w:marLeft w:val="0"/>
      <w:marRight w:val="0"/>
      <w:marTop w:val="0"/>
      <w:marBottom w:val="0"/>
      <w:divBdr>
        <w:top w:val="none" w:sz="0" w:space="0" w:color="auto"/>
        <w:left w:val="none" w:sz="0" w:space="0" w:color="auto"/>
        <w:bottom w:val="none" w:sz="0" w:space="0" w:color="auto"/>
        <w:right w:val="none" w:sz="0" w:space="0" w:color="auto"/>
      </w:divBdr>
    </w:div>
    <w:div w:id="1364095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lorophyll-esrioceans.hub.arcgis.com/" TargetMode="External"/><Relationship Id="rId13" Type="http://schemas.openxmlformats.org/officeDocument/2006/relationships/hyperlink" Target="https://eutrophicationwatch.users.earthengine.app/view/global-eutrophication-wat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ean.nowpap3.go.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mily.smail@noa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r.nesdis.noaa.gov/socd/mecb/color/ocview/ocview.html" TargetMode="External"/><Relationship Id="rId5" Type="http://schemas.openxmlformats.org/officeDocument/2006/relationships/webSettings" Target="webSettings.xml"/><Relationship Id="rId15" Type="http://schemas.openxmlformats.org/officeDocument/2006/relationships/hyperlink" Target="https://oceancolor.gsfc.nasa.gov" TargetMode="External"/><Relationship Id="rId10" Type="http://schemas.openxmlformats.org/officeDocument/2006/relationships/hyperlink" Target="https://coastwatch.noaa.gov/cw/satellite-data-products/ocean-color/anomal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imate.esa.int/en/projects/ocean-colour/" TargetMode="External"/><Relationship Id="rId14" Type="http://schemas.openxmlformats.org/officeDocument/2006/relationships/hyperlink" Target="https://www.marineregions.org/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8QQE0JeoKH33OQ3iwEkCoGzPCg==">AMUW2mWVPKseRkBpvHsghGeyBVDc9RmAZc6HRPmPjrcv++4KsF9jhVjMD9DQRqTQYyHQxvR60NC9SP0JSSk4zQ5G3iG4PLn8REkGjK+X+pA+Jpm51Gdil+IdWsWb39ccqONoPcEhKr93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Glennie</dc:creator>
  <cp:lastModifiedBy>Emily Smail</cp:lastModifiedBy>
  <cp:revision>89</cp:revision>
  <dcterms:created xsi:type="dcterms:W3CDTF">2022-01-22T15:18:00Z</dcterms:created>
  <dcterms:modified xsi:type="dcterms:W3CDTF">2022-09-01T09:30:00Z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0x0101000AA1F6DE6AA1014A984C5EDFD59959F5</vt:lpwstr>
  </property>
  <property fmtid="{D5CDD505-2E9C-101B-9397-08002B2CF9AE}" pid="3" name="Mendeley Document_1">
    <vt:lpwstr>True</vt:lpwstr>
  </property>
  <property fmtid="{D5CDD505-2E9C-101B-9397-08002B2CF9AE}" pid="4" name="Mendeley Unique User Id_1">
    <vt:lpwstr>1a1929ab-3c0f-3c2d-a87c-370da50e0042</vt:lpwstr>
  </property>
</Properties>
</file>